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41" w:rsidRDefault="000F5C41" w:rsidP="00583EFA">
      <w:pPr>
        <w:pStyle w:val="Title"/>
        <w:spacing w:after="240"/>
        <w:rPr>
          <w:rFonts w:ascii="Arial" w:hAnsi="Arial" w:cs="Arial"/>
          <w:color w:val="76923C" w:themeColor="accent3" w:themeShade="BF"/>
        </w:rPr>
      </w:pPr>
      <w:r>
        <w:rPr>
          <w:rFonts w:ascii="Arial" w:hAnsi="Arial" w:cs="Arial"/>
          <w:color w:val="76923C" w:themeColor="accent3" w:themeShade="BF"/>
        </w:rPr>
        <w:t>South Somerset</w:t>
      </w:r>
    </w:p>
    <w:p w:rsidR="000F5C41" w:rsidRDefault="000F5C41" w:rsidP="00583EFA">
      <w:pPr>
        <w:pStyle w:val="Title"/>
        <w:spacing w:after="240"/>
        <w:rPr>
          <w:rFonts w:ascii="Arial" w:hAnsi="Arial" w:cs="Arial"/>
          <w:color w:val="76923C" w:themeColor="accent3" w:themeShade="BF"/>
        </w:rPr>
      </w:pPr>
    </w:p>
    <w:p w:rsidR="000F5C41" w:rsidRDefault="000F5C41" w:rsidP="00583EFA">
      <w:pPr>
        <w:pStyle w:val="Title"/>
        <w:spacing w:after="240"/>
        <w:rPr>
          <w:rFonts w:ascii="Arial" w:hAnsi="Arial" w:cs="Arial"/>
          <w:color w:val="76923C" w:themeColor="accent3" w:themeShade="BF"/>
        </w:rPr>
      </w:pPr>
      <w:r>
        <w:rPr>
          <w:rFonts w:ascii="Arial" w:hAnsi="Arial" w:cs="Arial"/>
          <w:color w:val="76923C" w:themeColor="accent3" w:themeShade="BF"/>
        </w:rPr>
        <w:t>Community Infrastructure Levy</w:t>
      </w:r>
    </w:p>
    <w:p w:rsidR="000F5C41" w:rsidRDefault="000F5C41" w:rsidP="00583EFA">
      <w:pPr>
        <w:pStyle w:val="Title"/>
        <w:spacing w:after="240"/>
        <w:rPr>
          <w:rFonts w:ascii="Arial" w:hAnsi="Arial" w:cs="Arial"/>
          <w:color w:val="76923C" w:themeColor="accent3" w:themeShade="BF"/>
        </w:rPr>
      </w:pPr>
    </w:p>
    <w:p w:rsidR="00EE7699" w:rsidRPr="00D907FA" w:rsidRDefault="009A7906" w:rsidP="00583EFA">
      <w:pPr>
        <w:pStyle w:val="Title"/>
        <w:spacing w:after="240"/>
        <w:rPr>
          <w:rFonts w:ascii="Arial" w:hAnsi="Arial" w:cs="Arial"/>
          <w:color w:val="76923C" w:themeColor="accent3" w:themeShade="BF"/>
        </w:rPr>
      </w:pPr>
      <w:r>
        <w:rPr>
          <w:rFonts w:ascii="Arial" w:hAnsi="Arial" w:cs="Arial"/>
          <w:color w:val="76923C" w:themeColor="accent3" w:themeShade="BF"/>
        </w:rPr>
        <w:t>Regulation 123 List</w:t>
      </w:r>
    </w:p>
    <w:p w:rsidR="009656C0" w:rsidRDefault="009656C0" w:rsidP="009656C0">
      <w:pPr>
        <w:jc w:val="right"/>
        <w:rPr>
          <w:b/>
          <w:sz w:val="28"/>
        </w:rPr>
      </w:pPr>
    </w:p>
    <w:p w:rsidR="009656C0" w:rsidRDefault="009656C0" w:rsidP="009656C0">
      <w:pPr>
        <w:jc w:val="right"/>
        <w:rPr>
          <w:b/>
          <w:sz w:val="28"/>
        </w:rPr>
      </w:pPr>
    </w:p>
    <w:p w:rsidR="009656C0" w:rsidRDefault="009656C0" w:rsidP="009656C0">
      <w:pPr>
        <w:jc w:val="right"/>
        <w:rPr>
          <w:b/>
          <w:sz w:val="28"/>
        </w:rPr>
      </w:pPr>
    </w:p>
    <w:p w:rsidR="00D432AF" w:rsidRDefault="00D432AF" w:rsidP="009656C0">
      <w:pPr>
        <w:jc w:val="right"/>
        <w:rPr>
          <w:b/>
          <w:sz w:val="28"/>
        </w:rPr>
      </w:pPr>
    </w:p>
    <w:p w:rsidR="00D432AF" w:rsidRDefault="00D432AF" w:rsidP="009656C0">
      <w:pPr>
        <w:jc w:val="right"/>
        <w:rPr>
          <w:b/>
          <w:sz w:val="28"/>
        </w:rPr>
      </w:pPr>
    </w:p>
    <w:p w:rsidR="00D432AF" w:rsidRDefault="00D432AF" w:rsidP="009656C0">
      <w:pPr>
        <w:jc w:val="right"/>
        <w:rPr>
          <w:b/>
          <w:sz w:val="28"/>
        </w:rPr>
      </w:pPr>
    </w:p>
    <w:p w:rsidR="00D432AF" w:rsidRDefault="00D432AF" w:rsidP="009656C0">
      <w:pPr>
        <w:jc w:val="right"/>
        <w:rPr>
          <w:b/>
          <w:sz w:val="28"/>
        </w:rPr>
      </w:pPr>
    </w:p>
    <w:p w:rsidR="009656C0" w:rsidRDefault="009656C0" w:rsidP="009656C0">
      <w:pPr>
        <w:jc w:val="right"/>
        <w:rPr>
          <w:b/>
          <w:sz w:val="28"/>
        </w:rPr>
      </w:pPr>
    </w:p>
    <w:p w:rsidR="009656C0" w:rsidRDefault="009656C0" w:rsidP="009656C0">
      <w:pPr>
        <w:jc w:val="right"/>
        <w:rPr>
          <w:b/>
          <w:sz w:val="28"/>
        </w:rPr>
      </w:pPr>
    </w:p>
    <w:p w:rsidR="00E91F8B" w:rsidRPr="009656C0" w:rsidRDefault="009A7906" w:rsidP="009656C0">
      <w:pPr>
        <w:jc w:val="right"/>
        <w:rPr>
          <w:b/>
          <w:sz w:val="28"/>
        </w:rPr>
      </w:pPr>
      <w:r>
        <w:rPr>
          <w:b/>
          <w:sz w:val="28"/>
        </w:rPr>
        <w:t>November</w:t>
      </w:r>
      <w:r w:rsidR="00671CAF" w:rsidRPr="009656C0">
        <w:rPr>
          <w:b/>
          <w:sz w:val="28"/>
        </w:rPr>
        <w:t xml:space="preserve"> 2016</w:t>
      </w:r>
    </w:p>
    <w:p w:rsidR="00E91F8B" w:rsidRDefault="00E91F8B" w:rsidP="00E91F8B"/>
    <w:p w:rsidR="00E91F8B" w:rsidRDefault="00E91F8B" w:rsidP="00E91F8B"/>
    <w:p w:rsidR="00E91F8B" w:rsidRDefault="00E91F8B" w:rsidP="00E91F8B">
      <w:bookmarkStart w:id="0" w:name="_GoBack"/>
      <w:bookmarkEnd w:id="0"/>
    </w:p>
    <w:p w:rsidR="00E91F8B" w:rsidRDefault="00E91F8B" w:rsidP="00E91F8B"/>
    <w:p w:rsidR="00E91F8B" w:rsidRDefault="00E91F8B" w:rsidP="00E91F8B"/>
    <w:p w:rsidR="000F5C41" w:rsidRDefault="000F5C41" w:rsidP="00E91F8B">
      <w:pPr>
        <w:sectPr w:rsidR="000F5C41" w:rsidSect="007C15E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pgNumType w:fmt="lowerRoman" w:start="1"/>
          <w:cols w:space="708"/>
          <w:docGrid w:linePitch="360"/>
        </w:sectPr>
      </w:pPr>
    </w:p>
    <w:p w:rsidR="00C037FC" w:rsidRPr="00D907FA" w:rsidRDefault="00E23075" w:rsidP="00E23075">
      <w:pPr>
        <w:pStyle w:val="Heading1"/>
        <w:numPr>
          <w:ilvl w:val="0"/>
          <w:numId w:val="1"/>
        </w:numPr>
        <w:spacing w:before="360" w:after="120"/>
        <w:rPr>
          <w:rFonts w:ascii="Arial" w:hAnsi="Arial" w:cs="Arial"/>
          <w:color w:val="76923C" w:themeColor="accent3" w:themeShade="BF"/>
        </w:rPr>
      </w:pPr>
      <w:r w:rsidRPr="00D907FA">
        <w:rPr>
          <w:rFonts w:ascii="Arial" w:hAnsi="Arial" w:cs="Arial"/>
          <w:color w:val="76923C" w:themeColor="accent3" w:themeShade="BF"/>
        </w:rPr>
        <w:lastRenderedPageBreak/>
        <w:t>Introduction</w:t>
      </w:r>
    </w:p>
    <w:p w:rsidR="009A7906" w:rsidRDefault="009A7906" w:rsidP="009A7906">
      <w:pPr>
        <w:pStyle w:val="ListParagraph"/>
        <w:numPr>
          <w:ilvl w:val="1"/>
          <w:numId w:val="1"/>
        </w:numPr>
        <w:ind w:left="567" w:hanging="567"/>
        <w:rPr>
          <w:rFonts w:cs="Arial"/>
        </w:rPr>
      </w:pPr>
      <w:r w:rsidRPr="00D907FA">
        <w:rPr>
          <w:rFonts w:cs="Arial"/>
        </w:rPr>
        <w:t xml:space="preserve">This document </w:t>
      </w:r>
      <w:r>
        <w:rPr>
          <w:rFonts w:cs="Arial"/>
        </w:rPr>
        <w:t xml:space="preserve">sets out South Somerset District Council’s </w:t>
      </w:r>
      <w:r>
        <w:rPr>
          <w:rFonts w:cs="Arial"/>
        </w:rPr>
        <w:t>Regulation 123 List</w:t>
      </w:r>
      <w:r>
        <w:rPr>
          <w:rFonts w:cs="Arial"/>
        </w:rPr>
        <w:t xml:space="preserve"> relating to its approved Charging Schedule. </w:t>
      </w:r>
    </w:p>
    <w:p w:rsidR="009A7906" w:rsidRDefault="009A7906" w:rsidP="009A7906">
      <w:pPr>
        <w:pStyle w:val="ListParagraph"/>
        <w:numPr>
          <w:ilvl w:val="1"/>
          <w:numId w:val="1"/>
        </w:numPr>
        <w:ind w:left="567" w:hanging="567"/>
        <w:rPr>
          <w:rFonts w:cs="Arial"/>
        </w:rPr>
      </w:pPr>
      <w:r>
        <w:rPr>
          <w:rFonts w:cs="Arial"/>
        </w:rPr>
        <w:t>The levy and the Charging Schedule will be implemented from the 3</w:t>
      </w:r>
      <w:r w:rsidRPr="00B957BE">
        <w:rPr>
          <w:rFonts w:cs="Arial"/>
          <w:vertAlign w:val="superscript"/>
        </w:rPr>
        <w:t>rd</w:t>
      </w:r>
      <w:r>
        <w:rPr>
          <w:rFonts w:cs="Arial"/>
        </w:rPr>
        <w:t xml:space="preserve"> April 2017, and the Regulation 123 List</w:t>
      </w:r>
      <w:r>
        <w:rPr>
          <w:rFonts w:cs="Arial"/>
        </w:rPr>
        <w:t xml:space="preserve"> will be followed from that day forward, until such</w:t>
      </w:r>
      <w:r>
        <w:rPr>
          <w:rFonts w:cs="Arial"/>
        </w:rPr>
        <w:t xml:space="preserve"> time as it is </w:t>
      </w:r>
      <w:r>
        <w:rPr>
          <w:rFonts w:cs="Arial"/>
        </w:rPr>
        <w:t>amended</w:t>
      </w:r>
      <w:r>
        <w:rPr>
          <w:rFonts w:cs="Arial"/>
        </w:rPr>
        <w:t>.</w:t>
      </w:r>
    </w:p>
    <w:p w:rsidR="009B5B20" w:rsidRPr="00D907FA" w:rsidRDefault="00077539" w:rsidP="00FD6BDE">
      <w:pPr>
        <w:pStyle w:val="Heading1"/>
        <w:numPr>
          <w:ilvl w:val="0"/>
          <w:numId w:val="1"/>
        </w:numPr>
        <w:spacing w:before="360" w:after="120"/>
        <w:rPr>
          <w:rFonts w:ascii="Arial" w:hAnsi="Arial" w:cs="Arial"/>
          <w:color w:val="76923C" w:themeColor="accent3" w:themeShade="BF"/>
        </w:rPr>
      </w:pPr>
      <w:r>
        <w:rPr>
          <w:rFonts w:ascii="Arial" w:hAnsi="Arial" w:cs="Arial"/>
          <w:color w:val="76923C" w:themeColor="accent3" w:themeShade="BF"/>
        </w:rPr>
        <w:t>Regulation 123 L</w:t>
      </w:r>
      <w:r w:rsidR="00EF0C4C">
        <w:rPr>
          <w:rFonts w:ascii="Arial" w:hAnsi="Arial" w:cs="Arial"/>
          <w:color w:val="76923C" w:themeColor="accent3" w:themeShade="BF"/>
        </w:rPr>
        <w:t>ist</w:t>
      </w:r>
      <w:r w:rsidR="00466F48">
        <w:rPr>
          <w:rFonts w:ascii="Arial" w:hAnsi="Arial" w:cs="Arial"/>
          <w:color w:val="76923C" w:themeColor="accent3" w:themeShade="BF"/>
        </w:rPr>
        <w:t xml:space="preserve"> </w:t>
      </w:r>
    </w:p>
    <w:p w:rsidR="00434BB8" w:rsidRDefault="003040B1" w:rsidP="00434BB8">
      <w:pPr>
        <w:pStyle w:val="ListParagraph"/>
        <w:numPr>
          <w:ilvl w:val="1"/>
          <w:numId w:val="1"/>
        </w:numPr>
        <w:ind w:left="567" w:hanging="567"/>
        <w:rPr>
          <w:rFonts w:cs="Arial"/>
        </w:rPr>
      </w:pPr>
      <w:r w:rsidRPr="003040B1">
        <w:rPr>
          <w:rFonts w:cs="Arial"/>
        </w:rPr>
        <w:t xml:space="preserve">The Community Infrastructure Levy Regulations 2010 (as amended) </w:t>
      </w:r>
      <w:r w:rsidR="00316E2F">
        <w:rPr>
          <w:rFonts w:cs="Arial"/>
        </w:rPr>
        <w:t>require the</w:t>
      </w:r>
      <w:r w:rsidR="00434BB8">
        <w:rPr>
          <w:rFonts w:cs="Arial"/>
        </w:rPr>
        <w:t xml:space="preserve"> Council</w:t>
      </w:r>
      <w:r w:rsidRPr="003040B1">
        <w:rPr>
          <w:rFonts w:cs="Arial"/>
        </w:rPr>
        <w:t xml:space="preserve"> to set out a list of those projects or types of infrastructure that it intends to fund, or may </w:t>
      </w:r>
      <w:r>
        <w:rPr>
          <w:rFonts w:cs="Arial"/>
        </w:rPr>
        <w:t xml:space="preserve">fund, through the </w:t>
      </w:r>
      <w:r w:rsidR="00434BB8">
        <w:rPr>
          <w:rFonts w:cs="Arial"/>
        </w:rPr>
        <w:t>Community Infrastructure L</w:t>
      </w:r>
      <w:r>
        <w:rPr>
          <w:rFonts w:cs="Arial"/>
        </w:rPr>
        <w:t>evy.</w:t>
      </w:r>
    </w:p>
    <w:p w:rsidR="00434BB8" w:rsidRDefault="003040B1" w:rsidP="00434BB8">
      <w:pPr>
        <w:pStyle w:val="ListParagraph"/>
        <w:numPr>
          <w:ilvl w:val="1"/>
          <w:numId w:val="1"/>
        </w:numPr>
        <w:ind w:left="567" w:hanging="567"/>
        <w:rPr>
          <w:rFonts w:cs="Arial"/>
        </w:rPr>
      </w:pPr>
      <w:r w:rsidRPr="00434BB8">
        <w:rPr>
          <w:rFonts w:cs="Arial"/>
        </w:rPr>
        <w:t xml:space="preserve">The Regulation 123 List limits the use of planning obligations. </w:t>
      </w:r>
      <w:r w:rsidR="00434BB8" w:rsidRPr="003040B1">
        <w:rPr>
          <w:rFonts w:cs="Arial"/>
        </w:rPr>
        <w:t xml:space="preserve">The Regulations </w:t>
      </w:r>
      <w:r w:rsidR="00434BB8" w:rsidRPr="00434BB8">
        <w:rPr>
          <w:rFonts w:cs="Arial"/>
        </w:rPr>
        <w:t>restrict the use of pooled contributions towards items th</w:t>
      </w:r>
      <w:r w:rsidR="00434BB8">
        <w:rPr>
          <w:rFonts w:cs="Arial"/>
        </w:rPr>
        <w:t xml:space="preserve">at may be funded via the levy. From April 2015, </w:t>
      </w:r>
      <w:r w:rsidR="00434BB8" w:rsidRPr="00434BB8">
        <w:rPr>
          <w:rFonts w:cs="Arial"/>
        </w:rPr>
        <w:t xml:space="preserve">no </w:t>
      </w:r>
      <w:r w:rsidR="00434BB8">
        <w:rPr>
          <w:rFonts w:cs="Arial"/>
        </w:rPr>
        <w:t xml:space="preserve">contributions </w:t>
      </w:r>
      <w:r w:rsidR="00434BB8" w:rsidRPr="00434BB8">
        <w:rPr>
          <w:rFonts w:cs="Arial"/>
        </w:rPr>
        <w:t>may be collected in respect of a specific infrastructure project or a ty</w:t>
      </w:r>
      <w:r w:rsidR="0039156F">
        <w:rPr>
          <w:rFonts w:cs="Arial"/>
        </w:rPr>
        <w:t xml:space="preserve">pe of infrastructure through a </w:t>
      </w:r>
      <w:r w:rsidR="006815DC">
        <w:rPr>
          <w:rFonts w:cs="Arial"/>
        </w:rPr>
        <w:t>Section</w:t>
      </w:r>
      <w:r w:rsidR="0039156F">
        <w:rPr>
          <w:rFonts w:cs="Arial"/>
        </w:rPr>
        <w:t xml:space="preserve"> 106 </w:t>
      </w:r>
      <w:r w:rsidR="006815DC">
        <w:rPr>
          <w:rFonts w:cs="Arial"/>
        </w:rPr>
        <w:t>Agreement</w:t>
      </w:r>
      <w:r w:rsidR="00434BB8" w:rsidRPr="00434BB8">
        <w:rPr>
          <w:rFonts w:cs="Arial"/>
        </w:rPr>
        <w:t xml:space="preserve">, if five or more obligations for that project or type of infrastructure have already been entered into since 6 April 2010. </w:t>
      </w:r>
    </w:p>
    <w:p w:rsidR="00434BB8" w:rsidRPr="00434BB8" w:rsidRDefault="00434BB8" w:rsidP="00434BB8">
      <w:pPr>
        <w:pStyle w:val="ListParagraph"/>
        <w:numPr>
          <w:ilvl w:val="1"/>
          <w:numId w:val="1"/>
        </w:numPr>
        <w:ind w:left="567" w:hanging="567"/>
        <w:rPr>
          <w:rFonts w:cs="Arial"/>
        </w:rPr>
      </w:pPr>
      <w:r w:rsidRPr="00434BB8">
        <w:rPr>
          <w:rFonts w:cs="Arial"/>
        </w:rPr>
        <w:t xml:space="preserve">The Council’s Regulation 123 List is set out in </w:t>
      </w:r>
      <w:r w:rsidR="009A7906">
        <w:rPr>
          <w:rFonts w:cs="Arial"/>
        </w:rPr>
        <w:t xml:space="preserve">Table </w:t>
      </w:r>
      <w:r w:rsidRPr="00434BB8">
        <w:rPr>
          <w:rFonts w:cs="Arial"/>
        </w:rPr>
        <w:t>1 below.</w:t>
      </w:r>
    </w:p>
    <w:p w:rsidR="00434BB8" w:rsidRPr="00434BB8" w:rsidRDefault="00434BB8" w:rsidP="00434BB8">
      <w:pPr>
        <w:pStyle w:val="ListParagraph"/>
        <w:numPr>
          <w:ilvl w:val="1"/>
          <w:numId w:val="1"/>
        </w:numPr>
        <w:ind w:left="567" w:hanging="567"/>
        <w:rPr>
          <w:rFonts w:cs="Arial"/>
        </w:rPr>
      </w:pPr>
      <w:r w:rsidRPr="00434BB8">
        <w:rPr>
          <w:rFonts w:cs="Arial"/>
        </w:rPr>
        <w:t xml:space="preserve">The Regulation 123 </w:t>
      </w:r>
      <w:r w:rsidR="00E81888">
        <w:rPr>
          <w:rFonts w:cs="Arial"/>
        </w:rPr>
        <w:t>L</w:t>
      </w:r>
      <w:r w:rsidRPr="00434BB8">
        <w:rPr>
          <w:rFonts w:cs="Arial"/>
        </w:rPr>
        <w:t>ist does not</w:t>
      </w:r>
      <w:r w:rsidR="00E81888">
        <w:rPr>
          <w:rFonts w:cs="Arial"/>
        </w:rPr>
        <w:t xml:space="preserve"> signify a commitment from the C</w:t>
      </w:r>
      <w:r w:rsidRPr="00434BB8">
        <w:rPr>
          <w:rFonts w:cs="Arial"/>
        </w:rPr>
        <w:t xml:space="preserve">ouncil to fund all the projects listed, or the entirety of any one project through </w:t>
      </w:r>
      <w:r w:rsidR="00E81888">
        <w:rPr>
          <w:rFonts w:cs="Arial"/>
        </w:rPr>
        <w:t>the C</w:t>
      </w:r>
      <w:r w:rsidR="00497657">
        <w:rPr>
          <w:rFonts w:cs="Arial"/>
        </w:rPr>
        <w:t>IL funds</w:t>
      </w:r>
      <w:r w:rsidR="00E81888">
        <w:rPr>
          <w:rFonts w:cs="Arial"/>
        </w:rPr>
        <w:t xml:space="preserve"> </w:t>
      </w:r>
      <w:r w:rsidRPr="00434BB8">
        <w:rPr>
          <w:rFonts w:cs="Arial"/>
        </w:rPr>
        <w:t xml:space="preserve">– it just signifies projects </w:t>
      </w:r>
      <w:r w:rsidR="00E81888">
        <w:rPr>
          <w:rFonts w:cs="Arial"/>
        </w:rPr>
        <w:t>that will be considered by the C</w:t>
      </w:r>
      <w:r w:rsidRPr="00434BB8">
        <w:rPr>
          <w:rFonts w:cs="Arial"/>
        </w:rPr>
        <w:t>ouncil in its decision as to what might receive funding.</w:t>
      </w:r>
    </w:p>
    <w:p w:rsidR="00D432AF" w:rsidRDefault="00D432AF">
      <w:pPr>
        <w:rPr>
          <w:rFonts w:cs="Arial"/>
          <w:b/>
        </w:rPr>
      </w:pPr>
      <w:r>
        <w:rPr>
          <w:rFonts w:cs="Arial"/>
          <w:b/>
        </w:rPr>
        <w:br w:type="page"/>
      </w:r>
    </w:p>
    <w:p w:rsidR="003040B1" w:rsidRDefault="003040B1" w:rsidP="003040B1">
      <w:pPr>
        <w:rPr>
          <w:rFonts w:cs="Arial"/>
          <w:b/>
        </w:rPr>
      </w:pPr>
      <w:r w:rsidRPr="003040B1">
        <w:rPr>
          <w:rFonts w:cs="Arial"/>
          <w:b/>
        </w:rPr>
        <w:lastRenderedPageBreak/>
        <w:t xml:space="preserve">Table </w:t>
      </w:r>
      <w:r>
        <w:rPr>
          <w:rFonts w:cs="Arial"/>
          <w:b/>
        </w:rPr>
        <w:t>1: Regulation 123 List</w:t>
      </w:r>
    </w:p>
    <w:tbl>
      <w:tblPr>
        <w:tblStyle w:val="LightList-Accent3"/>
        <w:tblW w:w="9356" w:type="dxa"/>
        <w:tblInd w:w="108" w:type="dxa"/>
        <w:tblLook w:val="04A0" w:firstRow="1" w:lastRow="0" w:firstColumn="1" w:lastColumn="0" w:noHBand="0" w:noVBand="1"/>
      </w:tblPr>
      <w:tblGrid>
        <w:gridCol w:w="2268"/>
        <w:gridCol w:w="4253"/>
        <w:gridCol w:w="2835"/>
      </w:tblGrid>
      <w:tr w:rsidR="00D432AF" w:rsidTr="00F323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9BBB59" w:themeColor="accent3"/>
              <w:bottom w:val="single" w:sz="8" w:space="0" w:color="9BBB59" w:themeColor="accent3"/>
              <w:right w:val="single" w:sz="8" w:space="0" w:color="9BBB59" w:themeColor="accent3"/>
            </w:tcBorders>
            <w:shd w:val="clear" w:color="auto" w:fill="C2D69B" w:themeFill="accent3" w:themeFillTint="99"/>
          </w:tcPr>
          <w:p w:rsidR="00D432AF" w:rsidRPr="001D312D" w:rsidRDefault="00D432AF" w:rsidP="00F32360">
            <w:r w:rsidRPr="001D312D">
              <w:t>Infrastructure type</w:t>
            </w:r>
          </w:p>
        </w:tc>
        <w:tc>
          <w:tcPr>
            <w:tcW w:w="4253" w:type="dxa"/>
            <w:tcBorders>
              <w:top w:val="single" w:sz="8" w:space="0" w:color="9BBB59" w:themeColor="accent3"/>
              <w:left w:val="single" w:sz="8" w:space="0" w:color="9BBB59" w:themeColor="accent3"/>
              <w:bottom w:val="single" w:sz="8" w:space="0" w:color="9BBB59" w:themeColor="accent3"/>
            </w:tcBorders>
            <w:shd w:val="clear" w:color="auto" w:fill="C2D69B" w:themeFill="accent3" w:themeFillTint="99"/>
          </w:tcPr>
          <w:p w:rsidR="00D432AF" w:rsidRPr="001D312D" w:rsidRDefault="00D432AF" w:rsidP="00F32360">
            <w:pPr>
              <w:cnfStyle w:val="100000000000" w:firstRow="1" w:lastRow="0" w:firstColumn="0" w:lastColumn="0" w:oddVBand="0" w:evenVBand="0" w:oddHBand="0" w:evenHBand="0" w:firstRowFirstColumn="0" w:firstRowLastColumn="0" w:lastRowFirstColumn="0" w:lastRowLastColumn="0"/>
            </w:pPr>
            <w:r w:rsidRPr="001D312D">
              <w:t>Infrastructure that may be partly or wholly funded by CIL</w:t>
            </w:r>
          </w:p>
        </w:tc>
        <w:tc>
          <w:tcPr>
            <w:tcW w:w="2835" w:type="dxa"/>
            <w:tcBorders>
              <w:top w:val="single" w:sz="8" w:space="0" w:color="9BBB59" w:themeColor="accent3"/>
              <w:left w:val="single" w:sz="8" w:space="0" w:color="9BBB59" w:themeColor="accent3"/>
              <w:bottom w:val="single" w:sz="8" w:space="0" w:color="9BBB59" w:themeColor="accent3"/>
            </w:tcBorders>
            <w:shd w:val="clear" w:color="auto" w:fill="C2D69B" w:themeFill="accent3" w:themeFillTint="99"/>
          </w:tcPr>
          <w:p w:rsidR="00D432AF" w:rsidRDefault="00D432AF" w:rsidP="00F32360">
            <w:pPr>
              <w:cnfStyle w:val="100000000000" w:firstRow="1" w:lastRow="0" w:firstColumn="0" w:lastColumn="0" w:oddVBand="0" w:evenVBand="0" w:oddHBand="0" w:evenHBand="0" w:firstRowFirstColumn="0" w:firstRowLastColumn="0" w:lastRowFirstColumn="0" w:lastRowLastColumn="0"/>
            </w:pPr>
            <w:r w:rsidRPr="001D312D">
              <w:t xml:space="preserve">Exclusions (funded by S106 or S278  payments or alternative measures) </w:t>
            </w:r>
          </w:p>
        </w:tc>
      </w:tr>
      <w:tr w:rsidR="00D432AF" w:rsidTr="00F3236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268" w:type="dxa"/>
            <w:vMerge w:val="restart"/>
            <w:tcBorders>
              <w:right w:val="single" w:sz="8" w:space="0" w:color="9BBB59" w:themeColor="accent3"/>
            </w:tcBorders>
          </w:tcPr>
          <w:p w:rsidR="00D432AF" w:rsidRPr="00C86450" w:rsidRDefault="00D432AF" w:rsidP="00F32360">
            <w:pPr>
              <w:rPr>
                <w:rFonts w:cs="Arial"/>
                <w:b w:val="0"/>
              </w:rPr>
            </w:pPr>
            <w:r w:rsidRPr="00C86450">
              <w:rPr>
                <w:rFonts w:cs="Arial"/>
              </w:rPr>
              <w:t>Transport</w:t>
            </w:r>
          </w:p>
        </w:tc>
        <w:tc>
          <w:tcPr>
            <w:tcW w:w="4253" w:type="dxa"/>
            <w:tcBorders>
              <w:left w:val="single" w:sz="8" w:space="0" w:color="9BBB59" w:themeColor="accent3"/>
            </w:tcBorders>
          </w:tcPr>
          <w:p w:rsidR="00D432AF" w:rsidRPr="00316E2F" w:rsidRDefault="00D432AF" w:rsidP="00F32360">
            <w:pPr>
              <w:cnfStyle w:val="000000100000" w:firstRow="0" w:lastRow="0" w:firstColumn="0" w:lastColumn="0" w:oddVBand="0" w:evenVBand="0" w:oddHBand="1" w:evenHBand="0" w:firstRowFirstColumn="0" w:firstRowLastColumn="0" w:lastRowFirstColumn="0" w:lastRowLastColumn="0"/>
            </w:pPr>
            <w:r w:rsidRPr="00316E2F">
              <w:t>Millfield Link Road, Chard</w:t>
            </w:r>
            <w:r>
              <w:t>.</w:t>
            </w:r>
          </w:p>
        </w:tc>
        <w:tc>
          <w:tcPr>
            <w:tcW w:w="2835" w:type="dxa"/>
            <w:vMerge w:val="restart"/>
            <w:tcBorders>
              <w:left w:val="single" w:sz="8" w:space="0" w:color="9BBB59" w:themeColor="accent3"/>
            </w:tcBorders>
          </w:tcPr>
          <w:p w:rsidR="00D432AF" w:rsidRDefault="00D432AF" w:rsidP="00F32360">
            <w:pPr>
              <w:cnfStyle w:val="000000100000" w:firstRow="0" w:lastRow="0" w:firstColumn="0" w:lastColumn="0" w:oddVBand="0" w:evenVBand="0" w:oddHBand="1" w:evenHBand="0" w:firstRowFirstColumn="0" w:firstRowLastColumn="0" w:lastRowFirstColumn="0" w:lastRowLastColumn="0"/>
              <w:rPr>
                <w:rFonts w:cs="Arial"/>
              </w:rPr>
            </w:pPr>
            <w:r w:rsidRPr="00147BC3">
              <w:rPr>
                <w:rFonts w:cs="Arial"/>
              </w:rPr>
              <w:t>Improvements or provision of highways or highways access works related to a specific development site</w:t>
            </w:r>
            <w:r>
              <w:rPr>
                <w:rFonts w:cs="Arial"/>
              </w:rPr>
              <w:t>.</w:t>
            </w:r>
          </w:p>
        </w:tc>
      </w:tr>
      <w:tr w:rsidR="00D432AF" w:rsidTr="00F32360">
        <w:trPr>
          <w:trHeight w:val="706"/>
        </w:trPr>
        <w:tc>
          <w:tcPr>
            <w:cnfStyle w:val="001000000000" w:firstRow="0" w:lastRow="0" w:firstColumn="1" w:lastColumn="0" w:oddVBand="0" w:evenVBand="0" w:oddHBand="0" w:evenHBand="0" w:firstRowFirstColumn="0" w:firstRowLastColumn="0" w:lastRowFirstColumn="0" w:lastRowLastColumn="0"/>
            <w:tcW w:w="2268" w:type="dxa"/>
            <w:vMerge/>
            <w:tcBorders>
              <w:right w:val="single" w:sz="8" w:space="0" w:color="9BBB59" w:themeColor="accent3"/>
            </w:tcBorders>
          </w:tcPr>
          <w:p w:rsidR="00D432AF" w:rsidRPr="00C86450" w:rsidRDefault="00D432AF" w:rsidP="00F32360">
            <w:pPr>
              <w:rPr>
                <w:rFonts w:cs="Arial"/>
                <w:b w:val="0"/>
              </w:rPr>
            </w:pPr>
          </w:p>
        </w:tc>
        <w:tc>
          <w:tcPr>
            <w:tcW w:w="4253" w:type="dxa"/>
            <w:tcBorders>
              <w:left w:val="single" w:sz="8" w:space="0" w:color="9BBB59" w:themeColor="accent3"/>
            </w:tcBorders>
          </w:tcPr>
          <w:p w:rsidR="00D432AF" w:rsidRPr="00316E2F" w:rsidRDefault="00D432AF" w:rsidP="00F32360">
            <w:pPr>
              <w:cnfStyle w:val="000000000000" w:firstRow="0" w:lastRow="0" w:firstColumn="0" w:lastColumn="0" w:oddVBand="0" w:evenVBand="0" w:oddHBand="0" w:evenHBand="0" w:firstRowFirstColumn="0" w:firstRowLastColumn="0" w:lastRowFirstColumn="0" w:lastRowLastColumn="0"/>
            </w:pPr>
            <w:r w:rsidRPr="00316E2F">
              <w:t>Link road from Oaklands Avenue to A358 Furnham Road, Chard</w:t>
            </w:r>
            <w:r>
              <w:t>.</w:t>
            </w:r>
          </w:p>
        </w:tc>
        <w:tc>
          <w:tcPr>
            <w:tcW w:w="2835" w:type="dxa"/>
            <w:vMerge/>
            <w:tcBorders>
              <w:left w:val="single" w:sz="8" w:space="0" w:color="9BBB59" w:themeColor="accent3"/>
            </w:tcBorders>
          </w:tcPr>
          <w:p w:rsidR="00D432AF" w:rsidRDefault="00D432AF" w:rsidP="00F32360">
            <w:pPr>
              <w:cnfStyle w:val="000000000000" w:firstRow="0" w:lastRow="0" w:firstColumn="0" w:lastColumn="0" w:oddVBand="0" w:evenVBand="0" w:oddHBand="0" w:evenHBand="0" w:firstRowFirstColumn="0" w:firstRowLastColumn="0" w:lastRowFirstColumn="0" w:lastRowLastColumn="0"/>
              <w:rPr>
                <w:rFonts w:cs="Arial"/>
              </w:rPr>
            </w:pPr>
          </w:p>
        </w:tc>
      </w:tr>
      <w:tr w:rsidR="00D432AF" w:rsidTr="00F32360">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268" w:type="dxa"/>
            <w:vMerge/>
            <w:tcBorders>
              <w:right w:val="single" w:sz="8" w:space="0" w:color="9BBB59" w:themeColor="accent3"/>
            </w:tcBorders>
          </w:tcPr>
          <w:p w:rsidR="00D432AF" w:rsidRPr="00C86450" w:rsidRDefault="00D432AF" w:rsidP="00F32360">
            <w:pPr>
              <w:rPr>
                <w:rFonts w:cs="Arial"/>
                <w:b w:val="0"/>
              </w:rPr>
            </w:pPr>
          </w:p>
        </w:tc>
        <w:tc>
          <w:tcPr>
            <w:tcW w:w="4253" w:type="dxa"/>
            <w:tcBorders>
              <w:left w:val="single" w:sz="8" w:space="0" w:color="9BBB59" w:themeColor="accent3"/>
            </w:tcBorders>
          </w:tcPr>
          <w:p w:rsidR="00D432AF" w:rsidRPr="00316E2F" w:rsidRDefault="00D432AF" w:rsidP="00F32360">
            <w:pPr>
              <w:cnfStyle w:val="000000100000" w:firstRow="0" w:lastRow="0" w:firstColumn="0" w:lastColumn="0" w:oddVBand="0" w:evenVBand="0" w:oddHBand="1" w:evenHBand="0" w:firstRowFirstColumn="0" w:firstRowLastColumn="0" w:lastRowFirstColumn="0" w:lastRowLastColumn="0"/>
            </w:pPr>
            <w:r w:rsidRPr="00316E2F">
              <w:t xml:space="preserve">Link road connecting A30 with </w:t>
            </w:r>
            <w:r>
              <w:t>Oaklands Avenue, Chard.</w:t>
            </w:r>
          </w:p>
        </w:tc>
        <w:tc>
          <w:tcPr>
            <w:tcW w:w="2835" w:type="dxa"/>
            <w:vMerge/>
            <w:tcBorders>
              <w:left w:val="single" w:sz="8" w:space="0" w:color="9BBB59" w:themeColor="accent3"/>
            </w:tcBorders>
          </w:tcPr>
          <w:p w:rsidR="00D432AF" w:rsidRDefault="00D432AF" w:rsidP="00F32360">
            <w:pPr>
              <w:cnfStyle w:val="000000100000" w:firstRow="0" w:lastRow="0" w:firstColumn="0" w:lastColumn="0" w:oddVBand="0" w:evenVBand="0" w:oddHBand="1" w:evenHBand="0" w:firstRowFirstColumn="0" w:firstRowLastColumn="0" w:lastRowFirstColumn="0" w:lastRowLastColumn="0"/>
              <w:rPr>
                <w:rFonts w:cs="Arial"/>
              </w:rPr>
            </w:pPr>
          </w:p>
        </w:tc>
      </w:tr>
      <w:tr w:rsidR="00D432AF" w:rsidTr="00F32360">
        <w:trPr>
          <w:trHeight w:val="621"/>
        </w:trPr>
        <w:tc>
          <w:tcPr>
            <w:cnfStyle w:val="001000000000" w:firstRow="0" w:lastRow="0" w:firstColumn="1" w:lastColumn="0" w:oddVBand="0" w:evenVBand="0" w:oddHBand="0" w:evenHBand="0" w:firstRowFirstColumn="0" w:firstRowLastColumn="0" w:lastRowFirstColumn="0" w:lastRowLastColumn="0"/>
            <w:tcW w:w="2268" w:type="dxa"/>
            <w:vMerge/>
            <w:tcBorders>
              <w:right w:val="single" w:sz="8" w:space="0" w:color="9BBB59" w:themeColor="accent3"/>
            </w:tcBorders>
          </w:tcPr>
          <w:p w:rsidR="00D432AF" w:rsidRPr="00C86450" w:rsidRDefault="00D432AF" w:rsidP="00F32360">
            <w:pPr>
              <w:rPr>
                <w:rFonts w:cs="Arial"/>
                <w:b w:val="0"/>
              </w:rPr>
            </w:pPr>
          </w:p>
        </w:tc>
        <w:tc>
          <w:tcPr>
            <w:tcW w:w="4253" w:type="dxa"/>
            <w:tcBorders>
              <w:left w:val="single" w:sz="8" w:space="0" w:color="9BBB59" w:themeColor="accent3"/>
            </w:tcBorders>
          </w:tcPr>
          <w:p w:rsidR="00D432AF" w:rsidRPr="00316E2F" w:rsidRDefault="00D432AF" w:rsidP="00F32360">
            <w:pPr>
              <w:cnfStyle w:val="000000000000" w:firstRow="0" w:lastRow="0" w:firstColumn="0" w:lastColumn="0" w:oddVBand="0" w:evenVBand="0" w:oddHBand="0" w:evenHBand="0" w:firstRowFirstColumn="0" w:firstRowLastColumn="0" w:lastRowFirstColumn="0" w:lastRowLastColumn="0"/>
            </w:pPr>
            <w:r w:rsidRPr="00316E2F">
              <w:t>Improve Stop Line Way cycle route between Chard and Tatworth</w:t>
            </w:r>
            <w:r>
              <w:t>.</w:t>
            </w:r>
          </w:p>
        </w:tc>
        <w:tc>
          <w:tcPr>
            <w:tcW w:w="2835" w:type="dxa"/>
            <w:vMerge/>
            <w:tcBorders>
              <w:left w:val="single" w:sz="8" w:space="0" w:color="9BBB59" w:themeColor="accent3"/>
            </w:tcBorders>
          </w:tcPr>
          <w:p w:rsidR="00D432AF" w:rsidRDefault="00D432AF" w:rsidP="00F32360">
            <w:pPr>
              <w:cnfStyle w:val="000000000000" w:firstRow="0" w:lastRow="0" w:firstColumn="0" w:lastColumn="0" w:oddVBand="0" w:evenVBand="0" w:oddHBand="0" w:evenHBand="0" w:firstRowFirstColumn="0" w:firstRowLastColumn="0" w:lastRowFirstColumn="0" w:lastRowLastColumn="0"/>
              <w:rPr>
                <w:rFonts w:cs="Arial"/>
              </w:rPr>
            </w:pPr>
          </w:p>
        </w:tc>
      </w:tr>
      <w:tr w:rsidR="00D432AF" w:rsidTr="00F32360">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268" w:type="dxa"/>
            <w:vMerge/>
            <w:tcBorders>
              <w:right w:val="single" w:sz="8" w:space="0" w:color="9BBB59" w:themeColor="accent3"/>
            </w:tcBorders>
          </w:tcPr>
          <w:p w:rsidR="00D432AF" w:rsidRDefault="00D432AF" w:rsidP="00F32360">
            <w:pPr>
              <w:rPr>
                <w:rFonts w:cs="Arial"/>
              </w:rPr>
            </w:pPr>
          </w:p>
        </w:tc>
        <w:tc>
          <w:tcPr>
            <w:tcW w:w="4253" w:type="dxa"/>
            <w:tcBorders>
              <w:left w:val="single" w:sz="8" w:space="0" w:color="9BBB59" w:themeColor="accent3"/>
            </w:tcBorders>
          </w:tcPr>
          <w:p w:rsidR="00D432AF" w:rsidRDefault="00D432AF" w:rsidP="00F32360">
            <w:pPr>
              <w:cnfStyle w:val="000000100000" w:firstRow="0" w:lastRow="0" w:firstColumn="0" w:lastColumn="0" w:oddVBand="0" w:evenVBand="0" w:oddHBand="1" w:evenHBand="0" w:firstRowFirstColumn="0" w:firstRowLastColumn="0" w:lastRowFirstColumn="0" w:lastRowLastColumn="0"/>
            </w:pPr>
            <w:r>
              <w:t>Yeovil Sustainable Transport Interchange</w:t>
            </w:r>
          </w:p>
        </w:tc>
        <w:tc>
          <w:tcPr>
            <w:tcW w:w="2835" w:type="dxa"/>
            <w:vMerge/>
            <w:tcBorders>
              <w:left w:val="single" w:sz="8" w:space="0" w:color="9BBB59" w:themeColor="accent3"/>
            </w:tcBorders>
          </w:tcPr>
          <w:p w:rsidR="00D432AF" w:rsidRPr="00147BC3" w:rsidRDefault="00D432AF" w:rsidP="00F32360">
            <w:pPr>
              <w:cnfStyle w:val="000000100000" w:firstRow="0" w:lastRow="0" w:firstColumn="0" w:lastColumn="0" w:oddVBand="0" w:evenVBand="0" w:oddHBand="1" w:evenHBand="0" w:firstRowFirstColumn="0" w:firstRowLastColumn="0" w:lastRowFirstColumn="0" w:lastRowLastColumn="0"/>
              <w:rPr>
                <w:rFonts w:cs="Arial"/>
              </w:rPr>
            </w:pPr>
          </w:p>
        </w:tc>
      </w:tr>
      <w:tr w:rsidR="00D432AF" w:rsidTr="00F32360">
        <w:trPr>
          <w:trHeight w:val="411"/>
        </w:trPr>
        <w:tc>
          <w:tcPr>
            <w:cnfStyle w:val="001000000000" w:firstRow="0" w:lastRow="0" w:firstColumn="1" w:lastColumn="0" w:oddVBand="0" w:evenVBand="0" w:oddHBand="0" w:evenHBand="0" w:firstRowFirstColumn="0" w:firstRowLastColumn="0" w:lastRowFirstColumn="0" w:lastRowLastColumn="0"/>
            <w:tcW w:w="2268" w:type="dxa"/>
            <w:vMerge/>
            <w:tcBorders>
              <w:right w:val="single" w:sz="8" w:space="0" w:color="9BBB59" w:themeColor="accent3"/>
            </w:tcBorders>
          </w:tcPr>
          <w:p w:rsidR="00D432AF" w:rsidRDefault="00D432AF" w:rsidP="00F32360">
            <w:pPr>
              <w:rPr>
                <w:rFonts w:cs="Arial"/>
              </w:rPr>
            </w:pPr>
          </w:p>
        </w:tc>
        <w:tc>
          <w:tcPr>
            <w:tcW w:w="4253" w:type="dxa"/>
            <w:tcBorders>
              <w:left w:val="single" w:sz="8" w:space="0" w:color="9BBB59" w:themeColor="accent3"/>
            </w:tcBorders>
          </w:tcPr>
          <w:p w:rsidR="00D432AF" w:rsidRDefault="00D432AF" w:rsidP="00F32360">
            <w:pPr>
              <w:cnfStyle w:val="000000000000" w:firstRow="0" w:lastRow="0" w:firstColumn="0" w:lastColumn="0" w:oddVBand="0" w:evenVBand="0" w:oddHBand="0" w:evenHBand="0" w:firstRowFirstColumn="0" w:firstRowLastColumn="0" w:lastRowFirstColumn="0" w:lastRowLastColumn="0"/>
            </w:pPr>
            <w:r>
              <w:t>Chard Sustainable Transport Interchange</w:t>
            </w:r>
          </w:p>
        </w:tc>
        <w:tc>
          <w:tcPr>
            <w:tcW w:w="2835" w:type="dxa"/>
            <w:vMerge/>
            <w:tcBorders>
              <w:left w:val="single" w:sz="8" w:space="0" w:color="9BBB59" w:themeColor="accent3"/>
            </w:tcBorders>
          </w:tcPr>
          <w:p w:rsidR="00D432AF" w:rsidRPr="00147BC3" w:rsidRDefault="00D432AF" w:rsidP="00F32360">
            <w:pPr>
              <w:cnfStyle w:val="000000000000" w:firstRow="0" w:lastRow="0" w:firstColumn="0" w:lastColumn="0" w:oddVBand="0" w:evenVBand="0" w:oddHBand="0" w:evenHBand="0" w:firstRowFirstColumn="0" w:firstRowLastColumn="0" w:lastRowFirstColumn="0" w:lastRowLastColumn="0"/>
              <w:rPr>
                <w:rFonts w:cs="Arial"/>
              </w:rPr>
            </w:pPr>
          </w:p>
        </w:tc>
      </w:tr>
      <w:tr w:rsidR="00D432AF" w:rsidTr="00F32360">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2268" w:type="dxa"/>
            <w:tcBorders>
              <w:right w:val="single" w:sz="8" w:space="0" w:color="9BBB59" w:themeColor="accent3"/>
            </w:tcBorders>
          </w:tcPr>
          <w:p w:rsidR="00D432AF" w:rsidRPr="00C86450" w:rsidRDefault="00D432AF" w:rsidP="00F32360">
            <w:pPr>
              <w:rPr>
                <w:rFonts w:cs="Arial"/>
                <w:b w:val="0"/>
              </w:rPr>
            </w:pPr>
            <w:r w:rsidRPr="00C86450">
              <w:rPr>
                <w:rFonts w:cs="Arial"/>
              </w:rPr>
              <w:t xml:space="preserve">Flood </w:t>
            </w:r>
            <w:r>
              <w:rPr>
                <w:rFonts w:cs="Arial"/>
              </w:rPr>
              <w:t>risk management</w:t>
            </w:r>
          </w:p>
        </w:tc>
        <w:tc>
          <w:tcPr>
            <w:tcW w:w="4253" w:type="dxa"/>
            <w:tcBorders>
              <w:left w:val="single" w:sz="8" w:space="0" w:color="9BBB59" w:themeColor="accent3"/>
            </w:tcBorders>
          </w:tcPr>
          <w:p w:rsidR="00D432AF" w:rsidRPr="00316E2F" w:rsidRDefault="00D432AF" w:rsidP="00F32360">
            <w:pPr>
              <w:cnfStyle w:val="000000100000" w:firstRow="0" w:lastRow="0" w:firstColumn="0" w:lastColumn="0" w:oddVBand="0" w:evenVBand="0" w:oddHBand="1" w:evenHBand="0" w:firstRowFirstColumn="0" w:firstRowLastColumn="0" w:lastRowFirstColumn="0" w:lastRowLastColumn="0"/>
            </w:pPr>
            <w:r w:rsidRPr="00316E2F">
              <w:t>Off-site flood risk management works</w:t>
            </w:r>
          </w:p>
        </w:tc>
        <w:tc>
          <w:tcPr>
            <w:tcW w:w="2835" w:type="dxa"/>
            <w:tcBorders>
              <w:left w:val="single" w:sz="8" w:space="0" w:color="9BBB59" w:themeColor="accent3"/>
            </w:tcBorders>
          </w:tcPr>
          <w:p w:rsidR="00D432AF" w:rsidRPr="00DF78CF" w:rsidRDefault="00D432AF" w:rsidP="00F32360">
            <w:pPr>
              <w:cnfStyle w:val="000000100000" w:firstRow="0" w:lastRow="0" w:firstColumn="0" w:lastColumn="0" w:oddVBand="0" w:evenVBand="0" w:oddHBand="1" w:evenHBand="0" w:firstRowFirstColumn="0" w:firstRowLastColumn="0" w:lastRowFirstColumn="0" w:lastRowLastColumn="0"/>
              <w:rPr>
                <w:rFonts w:cs="Arial"/>
              </w:rPr>
            </w:pPr>
            <w:r w:rsidRPr="00147BC3">
              <w:rPr>
                <w:rFonts w:cs="Arial"/>
              </w:rPr>
              <w:t xml:space="preserve">Improvements or provision of </w:t>
            </w:r>
            <w:r>
              <w:rPr>
                <w:rFonts w:cs="Arial"/>
              </w:rPr>
              <w:t>flood risk management works</w:t>
            </w:r>
            <w:r w:rsidRPr="00147BC3">
              <w:rPr>
                <w:rFonts w:cs="Arial"/>
              </w:rPr>
              <w:t xml:space="preserve"> related to a specific development site</w:t>
            </w:r>
            <w:r>
              <w:rPr>
                <w:rFonts w:cs="Arial"/>
              </w:rPr>
              <w:t>.</w:t>
            </w:r>
          </w:p>
        </w:tc>
      </w:tr>
      <w:tr w:rsidR="00D432AF" w:rsidTr="00F32360">
        <w:trPr>
          <w:trHeight w:val="1377"/>
        </w:trPr>
        <w:tc>
          <w:tcPr>
            <w:cnfStyle w:val="001000000000" w:firstRow="0" w:lastRow="0" w:firstColumn="1" w:lastColumn="0" w:oddVBand="0" w:evenVBand="0" w:oddHBand="0" w:evenHBand="0" w:firstRowFirstColumn="0" w:firstRowLastColumn="0" w:lastRowFirstColumn="0" w:lastRowLastColumn="0"/>
            <w:tcW w:w="2268" w:type="dxa"/>
            <w:tcBorders>
              <w:right w:val="single" w:sz="8" w:space="0" w:color="9BBB59" w:themeColor="accent3"/>
            </w:tcBorders>
          </w:tcPr>
          <w:p w:rsidR="00D432AF" w:rsidRPr="00C86450" w:rsidRDefault="00D432AF" w:rsidP="00F32360">
            <w:pPr>
              <w:rPr>
                <w:rFonts w:cs="Arial"/>
                <w:b w:val="0"/>
              </w:rPr>
            </w:pPr>
            <w:r w:rsidRPr="00C86450">
              <w:rPr>
                <w:rFonts w:cs="Arial"/>
              </w:rPr>
              <w:t>Outdoor Play Space, Sports, Community and Cultural facilities</w:t>
            </w:r>
          </w:p>
        </w:tc>
        <w:tc>
          <w:tcPr>
            <w:tcW w:w="4253" w:type="dxa"/>
            <w:tcBorders>
              <w:left w:val="single" w:sz="8" w:space="0" w:color="9BBB59" w:themeColor="accent3"/>
            </w:tcBorders>
          </w:tcPr>
          <w:p w:rsidR="00D432AF" w:rsidRDefault="00D432AF" w:rsidP="00F32360">
            <w:pPr>
              <w:cnfStyle w:val="000000000000" w:firstRow="0" w:lastRow="0" w:firstColumn="0" w:lastColumn="0" w:oddVBand="0" w:evenVBand="0" w:oddHBand="0" w:evenHBand="0" w:firstRowFirstColumn="0" w:firstRowLastColumn="0" w:lastRowFirstColumn="0" w:lastRowLastColumn="0"/>
            </w:pPr>
            <w:r>
              <w:t>Arts and entertainment facilities and improvement in Yeovil</w:t>
            </w:r>
          </w:p>
          <w:p w:rsidR="00D432AF" w:rsidRDefault="00D432AF" w:rsidP="00F32360">
            <w:pPr>
              <w:cnfStyle w:val="000000000000" w:firstRow="0" w:lastRow="0" w:firstColumn="0" w:lastColumn="0" w:oddVBand="0" w:evenVBand="0" w:oddHBand="0" w:evenHBand="0" w:firstRowFirstColumn="0" w:firstRowLastColumn="0" w:lastRowFirstColumn="0" w:lastRowLastColumn="0"/>
            </w:pPr>
          </w:p>
          <w:p w:rsidR="00D432AF" w:rsidRDefault="00D432AF" w:rsidP="00F32360">
            <w:pPr>
              <w:cnfStyle w:val="000000000000" w:firstRow="0" w:lastRow="0" w:firstColumn="0" w:lastColumn="0" w:oddVBand="0" w:evenVBand="0" w:oddHBand="0" w:evenHBand="0" w:firstRowFirstColumn="0" w:firstRowLastColumn="0" w:lastRowFirstColumn="0" w:lastRowLastColumn="0"/>
            </w:pPr>
            <w:r>
              <w:t>Swimming pool improvements or provision in Yeovil, Primary and Local Market Towns</w:t>
            </w:r>
          </w:p>
          <w:p w:rsidR="00D432AF" w:rsidRDefault="00D432AF" w:rsidP="00F32360">
            <w:pPr>
              <w:cnfStyle w:val="000000000000" w:firstRow="0" w:lastRow="0" w:firstColumn="0" w:lastColumn="0" w:oddVBand="0" w:evenVBand="0" w:oddHBand="0" w:evenHBand="0" w:firstRowFirstColumn="0" w:firstRowLastColumn="0" w:lastRowFirstColumn="0" w:lastRowLastColumn="0"/>
            </w:pPr>
          </w:p>
          <w:p w:rsidR="00D432AF" w:rsidRDefault="00D432AF" w:rsidP="00F32360">
            <w:pPr>
              <w:cnfStyle w:val="000000000000" w:firstRow="0" w:lastRow="0" w:firstColumn="0" w:lastColumn="0" w:oddVBand="0" w:evenVBand="0" w:oddHBand="0" w:evenHBand="0" w:firstRowFirstColumn="0" w:firstRowLastColumn="0" w:lastRowFirstColumn="0" w:lastRowLastColumn="0"/>
            </w:pPr>
            <w:r>
              <w:t>Sports hall improvements or provision in Yeovil, Primary and Local Market Towns</w:t>
            </w:r>
          </w:p>
          <w:p w:rsidR="00D432AF" w:rsidRDefault="00D432AF" w:rsidP="00F32360">
            <w:pPr>
              <w:cnfStyle w:val="000000000000" w:firstRow="0" w:lastRow="0" w:firstColumn="0" w:lastColumn="0" w:oddVBand="0" w:evenVBand="0" w:oddHBand="0" w:evenHBand="0" w:firstRowFirstColumn="0" w:firstRowLastColumn="0" w:lastRowFirstColumn="0" w:lastRowLastColumn="0"/>
            </w:pPr>
          </w:p>
          <w:p w:rsidR="00D432AF" w:rsidRDefault="00D432AF" w:rsidP="00F32360">
            <w:pPr>
              <w:cnfStyle w:val="000000000000" w:firstRow="0" w:lastRow="0" w:firstColumn="0" w:lastColumn="0" w:oddVBand="0" w:evenVBand="0" w:oddHBand="0" w:evenHBand="0" w:firstRowFirstColumn="0" w:firstRowLastColumn="0" w:lastRowFirstColumn="0" w:lastRowLastColumn="0"/>
            </w:pPr>
            <w:r>
              <w:t>3G Artificial Grass Pitch improvements or provision in Primary and Local Market Towns</w:t>
            </w:r>
          </w:p>
          <w:p w:rsidR="00D432AF" w:rsidRDefault="00D432AF" w:rsidP="00F32360">
            <w:pPr>
              <w:cnfStyle w:val="000000000000" w:firstRow="0" w:lastRow="0" w:firstColumn="0" w:lastColumn="0" w:oddVBand="0" w:evenVBand="0" w:oddHBand="0" w:evenHBand="0" w:firstRowFirstColumn="0" w:firstRowLastColumn="0" w:lastRowFirstColumn="0" w:lastRowLastColumn="0"/>
            </w:pPr>
          </w:p>
          <w:p w:rsidR="00D432AF" w:rsidRDefault="00D432AF" w:rsidP="00F32360">
            <w:pPr>
              <w:cnfStyle w:val="000000000000" w:firstRow="0" w:lastRow="0" w:firstColumn="0" w:lastColumn="0" w:oddVBand="0" w:evenVBand="0" w:oddHBand="0" w:evenHBand="0" w:firstRowFirstColumn="0" w:firstRowLastColumn="0" w:lastRowFirstColumn="0" w:lastRowLastColumn="0"/>
            </w:pPr>
            <w:r>
              <w:t>Community hall improvements or provision</w:t>
            </w:r>
          </w:p>
          <w:p w:rsidR="00D432AF" w:rsidRDefault="00D432AF" w:rsidP="00F32360">
            <w:pPr>
              <w:cnfStyle w:val="000000000000" w:firstRow="0" w:lastRow="0" w:firstColumn="0" w:lastColumn="0" w:oddVBand="0" w:evenVBand="0" w:oddHBand="0" w:evenHBand="0" w:firstRowFirstColumn="0" w:firstRowLastColumn="0" w:lastRowFirstColumn="0" w:lastRowLastColumn="0"/>
            </w:pPr>
          </w:p>
          <w:p w:rsidR="00D432AF" w:rsidRPr="00316E2F" w:rsidRDefault="00D432AF" w:rsidP="00F32360">
            <w:pPr>
              <w:cnfStyle w:val="000000000000" w:firstRow="0" w:lastRow="0" w:firstColumn="0" w:lastColumn="0" w:oddVBand="0" w:evenVBand="0" w:oddHBand="0" w:evenHBand="0" w:firstRowFirstColumn="0" w:firstRowLastColumn="0" w:lastRowFirstColumn="0" w:lastRowLastColumn="0"/>
            </w:pPr>
            <w:r>
              <w:t>New cemetery space to serve Yeovil</w:t>
            </w:r>
          </w:p>
        </w:tc>
        <w:tc>
          <w:tcPr>
            <w:tcW w:w="2835" w:type="dxa"/>
            <w:tcBorders>
              <w:left w:val="single" w:sz="8" w:space="0" w:color="9BBB59" w:themeColor="accent3"/>
            </w:tcBorders>
          </w:tcPr>
          <w:p w:rsidR="00D432AF" w:rsidRDefault="00D432AF" w:rsidP="00F32360">
            <w:pPr>
              <w:cnfStyle w:val="000000000000" w:firstRow="0" w:lastRow="0" w:firstColumn="0" w:lastColumn="0" w:oddVBand="0" w:evenVBand="0" w:oddHBand="0" w:evenHBand="0" w:firstRowFirstColumn="0" w:firstRowLastColumn="0" w:lastRowFirstColumn="0" w:lastRowLastColumn="0"/>
              <w:rPr>
                <w:rFonts w:cs="Arial"/>
              </w:rPr>
            </w:pPr>
            <w:r>
              <w:rPr>
                <w:rFonts w:cs="Arial"/>
              </w:rPr>
              <w:t>Improvements or provision of outdoor play space, sports, community and cultural facilities or building related to a specific development site.</w:t>
            </w:r>
          </w:p>
        </w:tc>
      </w:tr>
      <w:tr w:rsidR="00D432AF" w:rsidTr="00F32360">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2268" w:type="dxa"/>
            <w:tcBorders>
              <w:right w:val="single" w:sz="8" w:space="0" w:color="9BBB59" w:themeColor="accent3"/>
            </w:tcBorders>
          </w:tcPr>
          <w:p w:rsidR="00D432AF" w:rsidRPr="00C86450" w:rsidRDefault="00D432AF" w:rsidP="00F32360">
            <w:pPr>
              <w:rPr>
                <w:rFonts w:cs="Arial"/>
                <w:b w:val="0"/>
              </w:rPr>
            </w:pPr>
            <w:r w:rsidRPr="00C86450">
              <w:rPr>
                <w:rFonts w:cs="Arial"/>
              </w:rPr>
              <w:t>Open Space</w:t>
            </w:r>
            <w:r>
              <w:rPr>
                <w:rFonts w:cs="Arial"/>
              </w:rPr>
              <w:t xml:space="preserve"> and Public Realm</w:t>
            </w:r>
          </w:p>
        </w:tc>
        <w:tc>
          <w:tcPr>
            <w:tcW w:w="4253" w:type="dxa"/>
            <w:tcBorders>
              <w:left w:val="single" w:sz="8" w:space="0" w:color="9BBB59" w:themeColor="accent3"/>
            </w:tcBorders>
          </w:tcPr>
          <w:p w:rsidR="00D432AF" w:rsidRPr="00316E2F" w:rsidRDefault="00D432AF" w:rsidP="00F32360">
            <w:pPr>
              <w:cnfStyle w:val="000000100000" w:firstRow="0" w:lastRow="0" w:firstColumn="0" w:lastColumn="0" w:oddVBand="0" w:evenVBand="0" w:oddHBand="1" w:evenHBand="0" w:firstRowFirstColumn="0" w:firstRowLastColumn="0" w:lastRowFirstColumn="0" w:lastRowLastColumn="0"/>
            </w:pPr>
            <w:r w:rsidRPr="00316E2F">
              <w:t>Off-site open space</w:t>
            </w:r>
            <w:r>
              <w:t xml:space="preserve"> and public realm</w:t>
            </w:r>
          </w:p>
        </w:tc>
        <w:tc>
          <w:tcPr>
            <w:tcW w:w="2835" w:type="dxa"/>
            <w:tcBorders>
              <w:left w:val="single" w:sz="8" w:space="0" w:color="9BBB59" w:themeColor="accent3"/>
            </w:tcBorders>
          </w:tcPr>
          <w:p w:rsidR="00D432AF" w:rsidRDefault="00D432AF" w:rsidP="00F32360">
            <w:pPr>
              <w:cnfStyle w:val="000000100000" w:firstRow="0" w:lastRow="0" w:firstColumn="0" w:lastColumn="0" w:oddVBand="0" w:evenVBand="0" w:oddHBand="1" w:evenHBand="0" w:firstRowFirstColumn="0" w:firstRowLastColumn="0" w:lastRowFirstColumn="0" w:lastRowLastColumn="0"/>
              <w:rPr>
                <w:rFonts w:cs="Arial"/>
              </w:rPr>
            </w:pPr>
            <w:r>
              <w:rPr>
                <w:rFonts w:cs="Arial"/>
              </w:rPr>
              <w:t>Improvement or provision of open space or public realm related to a specific development site.</w:t>
            </w:r>
          </w:p>
        </w:tc>
      </w:tr>
    </w:tbl>
    <w:p w:rsidR="00D432AF" w:rsidRPr="00D432AF" w:rsidRDefault="00D432AF" w:rsidP="00D432AF">
      <w:pPr>
        <w:rPr>
          <w:rFonts w:cs="Arial"/>
        </w:rPr>
      </w:pPr>
    </w:p>
    <w:p w:rsidR="00D432AF" w:rsidRDefault="00D432AF" w:rsidP="00D432AF">
      <w:r>
        <w:br w:type="page"/>
      </w:r>
    </w:p>
    <w:p w:rsidR="00A652FD" w:rsidRPr="00A652FD" w:rsidRDefault="00A652FD" w:rsidP="00A652FD">
      <w:pPr>
        <w:pStyle w:val="ListParagraph"/>
        <w:numPr>
          <w:ilvl w:val="1"/>
          <w:numId w:val="1"/>
        </w:numPr>
        <w:ind w:left="567" w:hanging="567"/>
        <w:rPr>
          <w:rFonts w:cs="Arial"/>
        </w:rPr>
      </w:pPr>
      <w:r w:rsidRPr="00A652FD">
        <w:rPr>
          <w:rFonts w:cs="Arial"/>
        </w:rPr>
        <w:lastRenderedPageBreak/>
        <w:t>Where site-specific exclusions are identified, they will be subject to statutory tests set out under Regulation 122 of the Community Infrastructure Levy Regulations 2010 (as amended), which stipulates the following:</w:t>
      </w:r>
    </w:p>
    <w:p w:rsidR="00A652FD" w:rsidRPr="00A652FD" w:rsidRDefault="00A652FD" w:rsidP="00A652FD">
      <w:pPr>
        <w:ind w:left="720"/>
        <w:rPr>
          <w:rFonts w:cs="Arial"/>
          <w:i/>
        </w:rPr>
      </w:pPr>
      <w:r w:rsidRPr="00A652FD">
        <w:rPr>
          <w:rFonts w:cs="Arial"/>
          <w:i/>
        </w:rPr>
        <w:t>“A planning obligation may only constitute a reason for granting planning permission for the development if the obligation is –</w:t>
      </w:r>
    </w:p>
    <w:p w:rsidR="00A652FD" w:rsidRPr="00A652FD" w:rsidRDefault="00A652FD" w:rsidP="00A652FD">
      <w:pPr>
        <w:pStyle w:val="ListParagraph"/>
        <w:numPr>
          <w:ilvl w:val="0"/>
          <w:numId w:val="19"/>
        </w:numPr>
        <w:rPr>
          <w:rFonts w:cs="Arial"/>
          <w:i/>
        </w:rPr>
      </w:pPr>
      <w:r w:rsidRPr="00A652FD">
        <w:rPr>
          <w:rFonts w:cs="Arial"/>
          <w:i/>
        </w:rPr>
        <w:t>necessary to make the development acceptable in planning terms;</w:t>
      </w:r>
    </w:p>
    <w:p w:rsidR="00A652FD" w:rsidRPr="00A652FD" w:rsidRDefault="00A652FD" w:rsidP="00A652FD">
      <w:pPr>
        <w:pStyle w:val="ListParagraph"/>
        <w:numPr>
          <w:ilvl w:val="0"/>
          <w:numId w:val="19"/>
        </w:numPr>
        <w:rPr>
          <w:rFonts w:cs="Arial"/>
          <w:i/>
        </w:rPr>
      </w:pPr>
      <w:r w:rsidRPr="00A652FD">
        <w:rPr>
          <w:rFonts w:cs="Arial"/>
          <w:i/>
        </w:rPr>
        <w:t>directly related to the development; and</w:t>
      </w:r>
    </w:p>
    <w:p w:rsidR="00A652FD" w:rsidRPr="00A652FD" w:rsidRDefault="00A652FD" w:rsidP="00A652FD">
      <w:pPr>
        <w:pStyle w:val="ListParagraph"/>
        <w:numPr>
          <w:ilvl w:val="0"/>
          <w:numId w:val="19"/>
        </w:numPr>
        <w:rPr>
          <w:rFonts w:cs="Arial"/>
          <w:i/>
        </w:rPr>
      </w:pPr>
      <w:r w:rsidRPr="00A652FD">
        <w:rPr>
          <w:rFonts w:cs="Arial"/>
          <w:i/>
        </w:rPr>
        <w:t>fairly and reasonably related in scale and kind to the development”.</w:t>
      </w:r>
    </w:p>
    <w:p w:rsidR="00577649" w:rsidRDefault="00577649" w:rsidP="0039156F">
      <w:pPr>
        <w:pStyle w:val="ListParagraph"/>
        <w:numPr>
          <w:ilvl w:val="1"/>
          <w:numId w:val="1"/>
        </w:numPr>
        <w:ind w:left="567" w:hanging="567"/>
        <w:rPr>
          <w:rFonts w:cs="Arial"/>
        </w:rPr>
      </w:pPr>
      <w:r>
        <w:rPr>
          <w:rFonts w:cs="Arial"/>
        </w:rPr>
        <w:t>Site-specific infrastructure which is required to make the development acceptable in planning terms, and satisfies the requirements set out in Regulation 122, will be secured through Section 106 Agreements for sites such as: North-east Yeovil Sustainable Urban Extension, South Yeovil Sustainable Urban Extension, and each of the development sites which constitute the Chard Eastern Development Area.</w:t>
      </w:r>
    </w:p>
    <w:p w:rsidR="009A7906" w:rsidRDefault="0039156F" w:rsidP="009A7906">
      <w:pPr>
        <w:pStyle w:val="ListParagraph"/>
        <w:numPr>
          <w:ilvl w:val="1"/>
          <w:numId w:val="1"/>
        </w:numPr>
        <w:ind w:left="567" w:hanging="567"/>
        <w:rPr>
          <w:rFonts w:cs="Arial"/>
        </w:rPr>
      </w:pPr>
      <w:r w:rsidRPr="0039156F">
        <w:rPr>
          <w:rFonts w:cs="Arial"/>
        </w:rPr>
        <w:t xml:space="preserve">Affordable housing will continue to be secured through </w:t>
      </w:r>
      <w:r w:rsidR="006815DC">
        <w:rPr>
          <w:rFonts w:cs="Arial"/>
        </w:rPr>
        <w:t>Section</w:t>
      </w:r>
      <w:r>
        <w:rPr>
          <w:rFonts w:cs="Arial"/>
        </w:rPr>
        <w:t xml:space="preserve"> </w:t>
      </w:r>
      <w:r w:rsidRPr="0039156F">
        <w:rPr>
          <w:rFonts w:cs="Arial"/>
        </w:rPr>
        <w:t xml:space="preserve">106 </w:t>
      </w:r>
      <w:r w:rsidR="006815DC">
        <w:rPr>
          <w:rFonts w:cs="Arial"/>
        </w:rPr>
        <w:t>Agreement</w:t>
      </w:r>
      <w:r>
        <w:rPr>
          <w:rFonts w:cs="Arial"/>
        </w:rPr>
        <w:t>s, and is not liable for the C</w:t>
      </w:r>
      <w:r w:rsidR="00497657">
        <w:rPr>
          <w:rFonts w:cs="Arial"/>
        </w:rPr>
        <w:t>IL</w:t>
      </w:r>
      <w:r w:rsidR="009A7906">
        <w:rPr>
          <w:rFonts w:cs="Arial"/>
        </w:rPr>
        <w:t>.</w:t>
      </w:r>
    </w:p>
    <w:sectPr w:rsidR="009A79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84" w:rsidRDefault="00DC7A84" w:rsidP="007C15E5">
      <w:pPr>
        <w:spacing w:after="0" w:line="240" w:lineRule="auto"/>
      </w:pPr>
      <w:r>
        <w:separator/>
      </w:r>
    </w:p>
  </w:endnote>
  <w:endnote w:type="continuationSeparator" w:id="0">
    <w:p w:rsidR="00DC7A84" w:rsidRDefault="00DC7A84" w:rsidP="007C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4" w:rsidRDefault="00DC7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7999"/>
      <w:docPartObj>
        <w:docPartGallery w:val="Page Numbers (Bottom of Page)"/>
        <w:docPartUnique/>
      </w:docPartObj>
    </w:sdtPr>
    <w:sdtEndPr>
      <w:rPr>
        <w:noProof/>
      </w:rPr>
    </w:sdtEndPr>
    <w:sdtContent>
      <w:p w:rsidR="00DC7A84" w:rsidRDefault="00DC7A84">
        <w:pPr>
          <w:pStyle w:val="Footer"/>
          <w:jc w:val="right"/>
        </w:pPr>
        <w:r>
          <w:fldChar w:fldCharType="begin"/>
        </w:r>
        <w:r>
          <w:instrText xml:space="preserve"> PAGE   \* MERGEFORMAT </w:instrText>
        </w:r>
        <w:r>
          <w:fldChar w:fldCharType="separate"/>
        </w:r>
        <w:r w:rsidR="00D432AF">
          <w:rPr>
            <w:noProof/>
          </w:rPr>
          <w:t>4</w:t>
        </w:r>
        <w:r>
          <w:rPr>
            <w:noProof/>
          </w:rPr>
          <w:fldChar w:fldCharType="end"/>
        </w:r>
      </w:p>
    </w:sdtContent>
  </w:sdt>
  <w:p w:rsidR="00DC7A84" w:rsidRDefault="00DC7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4" w:rsidRDefault="00DC7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84" w:rsidRDefault="00DC7A84" w:rsidP="007C15E5">
      <w:pPr>
        <w:spacing w:after="0" w:line="240" w:lineRule="auto"/>
      </w:pPr>
      <w:r>
        <w:separator/>
      </w:r>
    </w:p>
  </w:footnote>
  <w:footnote w:type="continuationSeparator" w:id="0">
    <w:p w:rsidR="00DC7A84" w:rsidRDefault="00DC7A84" w:rsidP="007C1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4" w:rsidRDefault="00DC7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4" w:rsidRDefault="00DC7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4" w:rsidRDefault="00DC7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BB5"/>
    <w:multiLevelType w:val="hybridMultilevel"/>
    <w:tmpl w:val="620A85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340639F"/>
    <w:multiLevelType w:val="hybridMultilevel"/>
    <w:tmpl w:val="3DE4CFC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nsid w:val="060D5AC0"/>
    <w:multiLevelType w:val="hybridMultilevel"/>
    <w:tmpl w:val="9D16D0A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096633BD"/>
    <w:multiLevelType w:val="hybridMultilevel"/>
    <w:tmpl w:val="4124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553A4"/>
    <w:multiLevelType w:val="hybridMultilevel"/>
    <w:tmpl w:val="E7FAE2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17275B25"/>
    <w:multiLevelType w:val="hybridMultilevel"/>
    <w:tmpl w:val="E272E0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18342600"/>
    <w:multiLevelType w:val="hybridMultilevel"/>
    <w:tmpl w:val="0890B5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D74345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F300475"/>
    <w:multiLevelType w:val="multilevel"/>
    <w:tmpl w:val="45321B2E"/>
    <w:lvl w:ilvl="0">
      <w:start w:val="1"/>
      <w:numFmt w:val="decimal"/>
      <w:lvlText w:val="%1."/>
      <w:lvlJc w:val="left"/>
      <w:pPr>
        <w:ind w:left="360" w:hanging="360"/>
      </w:pPr>
      <w:rPr>
        <w:rFonts w:hint="default"/>
      </w:rPr>
    </w:lvl>
    <w:lvl w:ilvl="1">
      <w:start w:val="1"/>
      <w:numFmt w:val="decimal"/>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CD42DA"/>
    <w:multiLevelType w:val="hybridMultilevel"/>
    <w:tmpl w:val="693CB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B566F7"/>
    <w:multiLevelType w:val="hybridMultilevel"/>
    <w:tmpl w:val="B22E2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4166B0"/>
    <w:multiLevelType w:val="hybridMultilevel"/>
    <w:tmpl w:val="78282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F960F1"/>
    <w:multiLevelType w:val="hybridMultilevel"/>
    <w:tmpl w:val="AF2835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57E40495"/>
    <w:multiLevelType w:val="hybridMultilevel"/>
    <w:tmpl w:val="DD9A05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62661C56"/>
    <w:multiLevelType w:val="hybridMultilevel"/>
    <w:tmpl w:val="16E81B1A"/>
    <w:lvl w:ilvl="0" w:tplc="13E21A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6367CC0"/>
    <w:multiLevelType w:val="hybridMultilevel"/>
    <w:tmpl w:val="ACC204B6"/>
    <w:lvl w:ilvl="0" w:tplc="7DAA7A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69076E16"/>
    <w:multiLevelType w:val="hybridMultilevel"/>
    <w:tmpl w:val="30C0820A"/>
    <w:lvl w:ilvl="0" w:tplc="BB320354">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6CEE2DB5"/>
    <w:multiLevelType w:val="hybridMultilevel"/>
    <w:tmpl w:val="C5EA3D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F970782"/>
    <w:multiLevelType w:val="hybridMultilevel"/>
    <w:tmpl w:val="56487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8"/>
  </w:num>
  <w:num w:numId="4">
    <w:abstractNumId w:val="1"/>
  </w:num>
  <w:num w:numId="5">
    <w:abstractNumId w:val="7"/>
  </w:num>
  <w:num w:numId="6">
    <w:abstractNumId w:val="2"/>
  </w:num>
  <w:num w:numId="7">
    <w:abstractNumId w:val="0"/>
  </w:num>
  <w:num w:numId="8">
    <w:abstractNumId w:val="12"/>
  </w:num>
  <w:num w:numId="9">
    <w:abstractNumId w:val="9"/>
  </w:num>
  <w:num w:numId="10">
    <w:abstractNumId w:val="4"/>
  </w:num>
  <w:num w:numId="11">
    <w:abstractNumId w:val="13"/>
  </w:num>
  <w:num w:numId="12">
    <w:abstractNumId w:val="17"/>
  </w:num>
  <w:num w:numId="13">
    <w:abstractNumId w:val="15"/>
  </w:num>
  <w:num w:numId="14">
    <w:abstractNumId w:val="16"/>
  </w:num>
  <w:num w:numId="15">
    <w:abstractNumId w:val="5"/>
  </w:num>
  <w:num w:numId="16">
    <w:abstractNumId w:val="11"/>
  </w:num>
  <w:num w:numId="17">
    <w:abstractNumId w:val="3"/>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FA"/>
    <w:rsid w:val="000016DE"/>
    <w:rsid w:val="000030D0"/>
    <w:rsid w:val="00004F96"/>
    <w:rsid w:val="000124AE"/>
    <w:rsid w:val="00013265"/>
    <w:rsid w:val="000142A5"/>
    <w:rsid w:val="00022A35"/>
    <w:rsid w:val="000354B3"/>
    <w:rsid w:val="00035B4E"/>
    <w:rsid w:val="00036ECE"/>
    <w:rsid w:val="000376E4"/>
    <w:rsid w:val="00041195"/>
    <w:rsid w:val="00042171"/>
    <w:rsid w:val="00054D58"/>
    <w:rsid w:val="0005589F"/>
    <w:rsid w:val="00073535"/>
    <w:rsid w:val="000735B2"/>
    <w:rsid w:val="000757FB"/>
    <w:rsid w:val="00077539"/>
    <w:rsid w:val="000847CF"/>
    <w:rsid w:val="000B5820"/>
    <w:rsid w:val="000C1A87"/>
    <w:rsid w:val="000C2ED0"/>
    <w:rsid w:val="000D1CC7"/>
    <w:rsid w:val="000E3FAD"/>
    <w:rsid w:val="000F5C41"/>
    <w:rsid w:val="001016E6"/>
    <w:rsid w:val="0010334C"/>
    <w:rsid w:val="001039D0"/>
    <w:rsid w:val="001052A2"/>
    <w:rsid w:val="00105604"/>
    <w:rsid w:val="00110BD3"/>
    <w:rsid w:val="00112C37"/>
    <w:rsid w:val="00120983"/>
    <w:rsid w:val="00123EEF"/>
    <w:rsid w:val="001416E7"/>
    <w:rsid w:val="0014337D"/>
    <w:rsid w:val="0014390E"/>
    <w:rsid w:val="001478A6"/>
    <w:rsid w:val="00147BC3"/>
    <w:rsid w:val="00156AF4"/>
    <w:rsid w:val="001578D7"/>
    <w:rsid w:val="0016109C"/>
    <w:rsid w:val="001619F3"/>
    <w:rsid w:val="00162BD4"/>
    <w:rsid w:val="00191791"/>
    <w:rsid w:val="00192568"/>
    <w:rsid w:val="001A0E31"/>
    <w:rsid w:val="001A5E17"/>
    <w:rsid w:val="001B29F9"/>
    <w:rsid w:val="001D1E97"/>
    <w:rsid w:val="001E1605"/>
    <w:rsid w:val="001F15DD"/>
    <w:rsid w:val="00200728"/>
    <w:rsid w:val="002033CB"/>
    <w:rsid w:val="002040A9"/>
    <w:rsid w:val="002102EA"/>
    <w:rsid w:val="00242364"/>
    <w:rsid w:val="00247EFE"/>
    <w:rsid w:val="00252E5E"/>
    <w:rsid w:val="00254E02"/>
    <w:rsid w:val="0025631D"/>
    <w:rsid w:val="00263CEA"/>
    <w:rsid w:val="00271547"/>
    <w:rsid w:val="002734CC"/>
    <w:rsid w:val="002765F4"/>
    <w:rsid w:val="00277058"/>
    <w:rsid w:val="00280F20"/>
    <w:rsid w:val="00286E1F"/>
    <w:rsid w:val="00292A25"/>
    <w:rsid w:val="00292DC9"/>
    <w:rsid w:val="002A12AE"/>
    <w:rsid w:val="002C5B54"/>
    <w:rsid w:val="002C621D"/>
    <w:rsid w:val="002F2125"/>
    <w:rsid w:val="002F37CE"/>
    <w:rsid w:val="002F6285"/>
    <w:rsid w:val="003040B1"/>
    <w:rsid w:val="003169D8"/>
    <w:rsid w:val="00316E2F"/>
    <w:rsid w:val="00323CD6"/>
    <w:rsid w:val="00335BEB"/>
    <w:rsid w:val="00335F79"/>
    <w:rsid w:val="00336DB0"/>
    <w:rsid w:val="00343524"/>
    <w:rsid w:val="003478D5"/>
    <w:rsid w:val="00353B4C"/>
    <w:rsid w:val="003541EE"/>
    <w:rsid w:val="00354B18"/>
    <w:rsid w:val="00360F64"/>
    <w:rsid w:val="003648C0"/>
    <w:rsid w:val="003814C1"/>
    <w:rsid w:val="00381FF4"/>
    <w:rsid w:val="00385F1D"/>
    <w:rsid w:val="00390037"/>
    <w:rsid w:val="0039156F"/>
    <w:rsid w:val="003A3EA8"/>
    <w:rsid w:val="003A5C84"/>
    <w:rsid w:val="003B2CF3"/>
    <w:rsid w:val="003B43D5"/>
    <w:rsid w:val="003B4E5D"/>
    <w:rsid w:val="003C110B"/>
    <w:rsid w:val="003C79C9"/>
    <w:rsid w:val="003D33C3"/>
    <w:rsid w:val="003D75F8"/>
    <w:rsid w:val="003E72F3"/>
    <w:rsid w:val="003F0B8C"/>
    <w:rsid w:val="003F41A6"/>
    <w:rsid w:val="0040029E"/>
    <w:rsid w:val="00400B92"/>
    <w:rsid w:val="00411B3A"/>
    <w:rsid w:val="00431449"/>
    <w:rsid w:val="00431616"/>
    <w:rsid w:val="00431E1E"/>
    <w:rsid w:val="00433FD3"/>
    <w:rsid w:val="00434BB8"/>
    <w:rsid w:val="0044185D"/>
    <w:rsid w:val="00446DDF"/>
    <w:rsid w:val="00447004"/>
    <w:rsid w:val="0045351E"/>
    <w:rsid w:val="00461675"/>
    <w:rsid w:val="0046348F"/>
    <w:rsid w:val="00466F48"/>
    <w:rsid w:val="00474336"/>
    <w:rsid w:val="00482AD4"/>
    <w:rsid w:val="00483048"/>
    <w:rsid w:val="0049018B"/>
    <w:rsid w:val="00497657"/>
    <w:rsid w:val="004A0E4F"/>
    <w:rsid w:val="004A0FCB"/>
    <w:rsid w:val="004B0FFF"/>
    <w:rsid w:val="004B7730"/>
    <w:rsid w:val="004C72D4"/>
    <w:rsid w:val="004D3F57"/>
    <w:rsid w:val="004D519C"/>
    <w:rsid w:val="004D5CFD"/>
    <w:rsid w:val="004E0EDB"/>
    <w:rsid w:val="004E2CAB"/>
    <w:rsid w:val="004E4903"/>
    <w:rsid w:val="004F0BF6"/>
    <w:rsid w:val="004F7309"/>
    <w:rsid w:val="005117E7"/>
    <w:rsid w:val="005351B4"/>
    <w:rsid w:val="005460B4"/>
    <w:rsid w:val="00550506"/>
    <w:rsid w:val="00556121"/>
    <w:rsid w:val="00572D52"/>
    <w:rsid w:val="00577649"/>
    <w:rsid w:val="0058085D"/>
    <w:rsid w:val="00580A6B"/>
    <w:rsid w:val="00583A77"/>
    <w:rsid w:val="00583EFA"/>
    <w:rsid w:val="0058661A"/>
    <w:rsid w:val="00596683"/>
    <w:rsid w:val="005A3EE5"/>
    <w:rsid w:val="005A6E1B"/>
    <w:rsid w:val="005B0EB0"/>
    <w:rsid w:val="005B2315"/>
    <w:rsid w:val="005D6EC6"/>
    <w:rsid w:val="006019D9"/>
    <w:rsid w:val="00610789"/>
    <w:rsid w:val="0061116D"/>
    <w:rsid w:val="00636D4A"/>
    <w:rsid w:val="006370FD"/>
    <w:rsid w:val="00637F8C"/>
    <w:rsid w:val="00641643"/>
    <w:rsid w:val="006435B8"/>
    <w:rsid w:val="006479B3"/>
    <w:rsid w:val="00671CAF"/>
    <w:rsid w:val="0067212F"/>
    <w:rsid w:val="006815DC"/>
    <w:rsid w:val="006857DA"/>
    <w:rsid w:val="006A0112"/>
    <w:rsid w:val="006B0798"/>
    <w:rsid w:val="006B0A71"/>
    <w:rsid w:val="006B0EA5"/>
    <w:rsid w:val="006B2099"/>
    <w:rsid w:val="006B47F4"/>
    <w:rsid w:val="006C3767"/>
    <w:rsid w:val="006C3BBC"/>
    <w:rsid w:val="006D0772"/>
    <w:rsid w:val="006D0A73"/>
    <w:rsid w:val="006D4ABE"/>
    <w:rsid w:val="006E4376"/>
    <w:rsid w:val="00715676"/>
    <w:rsid w:val="00730596"/>
    <w:rsid w:val="00730623"/>
    <w:rsid w:val="007322CF"/>
    <w:rsid w:val="00741A19"/>
    <w:rsid w:val="0074677B"/>
    <w:rsid w:val="00750B3C"/>
    <w:rsid w:val="00760064"/>
    <w:rsid w:val="00760295"/>
    <w:rsid w:val="007626D6"/>
    <w:rsid w:val="00776951"/>
    <w:rsid w:val="00782C19"/>
    <w:rsid w:val="007845F8"/>
    <w:rsid w:val="007917F3"/>
    <w:rsid w:val="007941A8"/>
    <w:rsid w:val="007B1E0A"/>
    <w:rsid w:val="007B20E0"/>
    <w:rsid w:val="007B64DC"/>
    <w:rsid w:val="007C0461"/>
    <w:rsid w:val="007C15E5"/>
    <w:rsid w:val="007C4FE6"/>
    <w:rsid w:val="007C65A6"/>
    <w:rsid w:val="007C7514"/>
    <w:rsid w:val="007D731A"/>
    <w:rsid w:val="007E6514"/>
    <w:rsid w:val="007F01C8"/>
    <w:rsid w:val="007F2D4F"/>
    <w:rsid w:val="007F30C6"/>
    <w:rsid w:val="007F316A"/>
    <w:rsid w:val="007F54A5"/>
    <w:rsid w:val="007F74F3"/>
    <w:rsid w:val="00801CC8"/>
    <w:rsid w:val="00802F63"/>
    <w:rsid w:val="00804A32"/>
    <w:rsid w:val="00811E66"/>
    <w:rsid w:val="0082557F"/>
    <w:rsid w:val="00831F1C"/>
    <w:rsid w:val="008537ED"/>
    <w:rsid w:val="0086192A"/>
    <w:rsid w:val="00863EBD"/>
    <w:rsid w:val="00864CDA"/>
    <w:rsid w:val="008674B4"/>
    <w:rsid w:val="00874319"/>
    <w:rsid w:val="00874C78"/>
    <w:rsid w:val="008756F2"/>
    <w:rsid w:val="008A2BD2"/>
    <w:rsid w:val="008A5AAB"/>
    <w:rsid w:val="008D4BBE"/>
    <w:rsid w:val="008D57C6"/>
    <w:rsid w:val="008E746E"/>
    <w:rsid w:val="008F503A"/>
    <w:rsid w:val="0090144A"/>
    <w:rsid w:val="00904FCD"/>
    <w:rsid w:val="009109E4"/>
    <w:rsid w:val="00911F34"/>
    <w:rsid w:val="009146E5"/>
    <w:rsid w:val="0091544A"/>
    <w:rsid w:val="009257EC"/>
    <w:rsid w:val="00932590"/>
    <w:rsid w:val="0093286B"/>
    <w:rsid w:val="00932E5E"/>
    <w:rsid w:val="00937305"/>
    <w:rsid w:val="009411A6"/>
    <w:rsid w:val="0095147B"/>
    <w:rsid w:val="0096001D"/>
    <w:rsid w:val="009611F7"/>
    <w:rsid w:val="009656C0"/>
    <w:rsid w:val="0098638A"/>
    <w:rsid w:val="009A711A"/>
    <w:rsid w:val="009A7906"/>
    <w:rsid w:val="009B2F4F"/>
    <w:rsid w:val="009B5B20"/>
    <w:rsid w:val="009C17AD"/>
    <w:rsid w:val="009C7540"/>
    <w:rsid w:val="009D6EC4"/>
    <w:rsid w:val="009E2686"/>
    <w:rsid w:val="009F080B"/>
    <w:rsid w:val="009F1584"/>
    <w:rsid w:val="009F2720"/>
    <w:rsid w:val="009F2C0A"/>
    <w:rsid w:val="009F5766"/>
    <w:rsid w:val="009F644C"/>
    <w:rsid w:val="00A0419E"/>
    <w:rsid w:val="00A04E6B"/>
    <w:rsid w:val="00A12896"/>
    <w:rsid w:val="00A12DBE"/>
    <w:rsid w:val="00A26B12"/>
    <w:rsid w:val="00A27151"/>
    <w:rsid w:val="00A32AA3"/>
    <w:rsid w:val="00A36617"/>
    <w:rsid w:val="00A478F6"/>
    <w:rsid w:val="00A56A49"/>
    <w:rsid w:val="00A62D44"/>
    <w:rsid w:val="00A64DAF"/>
    <w:rsid w:val="00A652FD"/>
    <w:rsid w:val="00A710BD"/>
    <w:rsid w:val="00A8086B"/>
    <w:rsid w:val="00A812C7"/>
    <w:rsid w:val="00A81E7A"/>
    <w:rsid w:val="00A869AA"/>
    <w:rsid w:val="00A962E4"/>
    <w:rsid w:val="00AA1902"/>
    <w:rsid w:val="00AA6CB5"/>
    <w:rsid w:val="00AB1AD7"/>
    <w:rsid w:val="00AB28FC"/>
    <w:rsid w:val="00AB3471"/>
    <w:rsid w:val="00AB37E5"/>
    <w:rsid w:val="00AB7E97"/>
    <w:rsid w:val="00AC1ECE"/>
    <w:rsid w:val="00AC71E1"/>
    <w:rsid w:val="00AD6F13"/>
    <w:rsid w:val="00AE0D69"/>
    <w:rsid w:val="00AE130F"/>
    <w:rsid w:val="00AE7B1A"/>
    <w:rsid w:val="00AF3FCF"/>
    <w:rsid w:val="00B01BD6"/>
    <w:rsid w:val="00B0221F"/>
    <w:rsid w:val="00B07327"/>
    <w:rsid w:val="00B13672"/>
    <w:rsid w:val="00B26AC6"/>
    <w:rsid w:val="00B40747"/>
    <w:rsid w:val="00B73713"/>
    <w:rsid w:val="00B73D49"/>
    <w:rsid w:val="00B84DF9"/>
    <w:rsid w:val="00B96322"/>
    <w:rsid w:val="00B9769B"/>
    <w:rsid w:val="00BA102D"/>
    <w:rsid w:val="00BA7D78"/>
    <w:rsid w:val="00BB26E2"/>
    <w:rsid w:val="00BC1400"/>
    <w:rsid w:val="00BD5554"/>
    <w:rsid w:val="00BD575E"/>
    <w:rsid w:val="00BE2FC0"/>
    <w:rsid w:val="00BE4709"/>
    <w:rsid w:val="00BE6399"/>
    <w:rsid w:val="00BF19DE"/>
    <w:rsid w:val="00BF5E01"/>
    <w:rsid w:val="00BF6857"/>
    <w:rsid w:val="00C037FC"/>
    <w:rsid w:val="00C07A53"/>
    <w:rsid w:val="00C15E71"/>
    <w:rsid w:val="00C251C2"/>
    <w:rsid w:val="00C355D1"/>
    <w:rsid w:val="00C45BF4"/>
    <w:rsid w:val="00C54AE3"/>
    <w:rsid w:val="00C55325"/>
    <w:rsid w:val="00C555DF"/>
    <w:rsid w:val="00C67331"/>
    <w:rsid w:val="00C7240F"/>
    <w:rsid w:val="00C72BB4"/>
    <w:rsid w:val="00C82248"/>
    <w:rsid w:val="00C82724"/>
    <w:rsid w:val="00C837CB"/>
    <w:rsid w:val="00CA1B37"/>
    <w:rsid w:val="00CA66C0"/>
    <w:rsid w:val="00CB3A54"/>
    <w:rsid w:val="00CC59AC"/>
    <w:rsid w:val="00CD0237"/>
    <w:rsid w:val="00CE745B"/>
    <w:rsid w:val="00D05DB8"/>
    <w:rsid w:val="00D10A2D"/>
    <w:rsid w:val="00D17935"/>
    <w:rsid w:val="00D20BA9"/>
    <w:rsid w:val="00D314ED"/>
    <w:rsid w:val="00D3240B"/>
    <w:rsid w:val="00D3247C"/>
    <w:rsid w:val="00D33673"/>
    <w:rsid w:val="00D3472A"/>
    <w:rsid w:val="00D432AF"/>
    <w:rsid w:val="00D4504F"/>
    <w:rsid w:val="00D62376"/>
    <w:rsid w:val="00D71F6C"/>
    <w:rsid w:val="00D7364D"/>
    <w:rsid w:val="00D73F55"/>
    <w:rsid w:val="00D746A7"/>
    <w:rsid w:val="00D74B32"/>
    <w:rsid w:val="00D81353"/>
    <w:rsid w:val="00D86C37"/>
    <w:rsid w:val="00D907FA"/>
    <w:rsid w:val="00D9310C"/>
    <w:rsid w:val="00D968F3"/>
    <w:rsid w:val="00DB5503"/>
    <w:rsid w:val="00DB620E"/>
    <w:rsid w:val="00DC4A1F"/>
    <w:rsid w:val="00DC7A84"/>
    <w:rsid w:val="00DD77FC"/>
    <w:rsid w:val="00DE2BEE"/>
    <w:rsid w:val="00DE5E71"/>
    <w:rsid w:val="00DF0579"/>
    <w:rsid w:val="00DF1832"/>
    <w:rsid w:val="00E0144F"/>
    <w:rsid w:val="00E12746"/>
    <w:rsid w:val="00E23075"/>
    <w:rsid w:val="00E25816"/>
    <w:rsid w:val="00E31D84"/>
    <w:rsid w:val="00E32F85"/>
    <w:rsid w:val="00E35613"/>
    <w:rsid w:val="00E37018"/>
    <w:rsid w:val="00E63CDF"/>
    <w:rsid w:val="00E67358"/>
    <w:rsid w:val="00E72AC0"/>
    <w:rsid w:val="00E81888"/>
    <w:rsid w:val="00E83609"/>
    <w:rsid w:val="00E878AC"/>
    <w:rsid w:val="00E91F8B"/>
    <w:rsid w:val="00E941C9"/>
    <w:rsid w:val="00EB0111"/>
    <w:rsid w:val="00EB0A51"/>
    <w:rsid w:val="00EB1FAD"/>
    <w:rsid w:val="00EB2220"/>
    <w:rsid w:val="00EE7699"/>
    <w:rsid w:val="00EF0C4C"/>
    <w:rsid w:val="00EF73A6"/>
    <w:rsid w:val="00F0601D"/>
    <w:rsid w:val="00F100D7"/>
    <w:rsid w:val="00F16BEC"/>
    <w:rsid w:val="00F2001D"/>
    <w:rsid w:val="00F21E89"/>
    <w:rsid w:val="00F4043D"/>
    <w:rsid w:val="00F61C69"/>
    <w:rsid w:val="00F7567F"/>
    <w:rsid w:val="00F8290B"/>
    <w:rsid w:val="00FB59F0"/>
    <w:rsid w:val="00FC6E9B"/>
    <w:rsid w:val="00FC7E0F"/>
    <w:rsid w:val="00FD07CC"/>
    <w:rsid w:val="00FD552D"/>
    <w:rsid w:val="00FD5AE0"/>
    <w:rsid w:val="00FD6BDE"/>
    <w:rsid w:val="00FE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17"/>
    <w:rPr>
      <w:rFonts w:ascii="Arial" w:hAnsi="Arial"/>
    </w:rPr>
  </w:style>
  <w:style w:type="paragraph" w:styleId="Heading1">
    <w:name w:val="heading 1"/>
    <w:basedOn w:val="Normal"/>
    <w:next w:val="Normal"/>
    <w:link w:val="Heading1Char"/>
    <w:uiPriority w:val="9"/>
    <w:qFormat/>
    <w:rsid w:val="00583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2AA3"/>
    <w:pPr>
      <w:keepNext/>
      <w:keepLines/>
      <w:spacing w:before="200" w:after="0"/>
      <w:outlineLvl w:val="1"/>
    </w:pPr>
    <w:rPr>
      <w:rFonts w:eastAsiaTheme="majorEastAsia" w:cstheme="majorBidi"/>
      <w:b/>
      <w:bCs/>
      <w:color w:val="9BBB59"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E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3EF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83E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2BD4"/>
    <w:pPr>
      <w:spacing w:before="240" w:after="240" w:line="240" w:lineRule="auto"/>
      <w:ind w:left="720"/>
    </w:pPr>
  </w:style>
  <w:style w:type="table" w:styleId="TableGrid">
    <w:name w:val="Table Grid"/>
    <w:basedOn w:val="TableNormal"/>
    <w:uiPriority w:val="59"/>
    <w:rsid w:val="00BF6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F685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BF685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F68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F68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A32AA3"/>
    <w:rPr>
      <w:rFonts w:ascii="Arial" w:eastAsiaTheme="majorEastAsia" w:hAnsi="Arial" w:cstheme="majorBidi"/>
      <w:b/>
      <w:bCs/>
      <w:color w:val="9BBB59" w:themeColor="accent3"/>
      <w:sz w:val="26"/>
      <w:szCs w:val="26"/>
    </w:rPr>
  </w:style>
  <w:style w:type="character" w:styleId="Hyperlink">
    <w:name w:val="Hyperlink"/>
    <w:basedOn w:val="DefaultParagraphFont"/>
    <w:uiPriority w:val="99"/>
    <w:unhideWhenUsed/>
    <w:rsid w:val="007F316A"/>
    <w:rPr>
      <w:color w:val="0000FF" w:themeColor="hyperlink"/>
      <w:u w:val="single"/>
    </w:rPr>
  </w:style>
  <w:style w:type="paragraph" w:styleId="BalloonText">
    <w:name w:val="Balloon Text"/>
    <w:basedOn w:val="Normal"/>
    <w:link w:val="BalloonTextChar"/>
    <w:uiPriority w:val="99"/>
    <w:semiHidden/>
    <w:unhideWhenUsed/>
    <w:rsid w:val="00041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95"/>
    <w:rPr>
      <w:rFonts w:ascii="Tahoma" w:hAnsi="Tahoma" w:cs="Tahoma"/>
      <w:sz w:val="16"/>
      <w:szCs w:val="16"/>
    </w:rPr>
  </w:style>
  <w:style w:type="paragraph" w:styleId="Header">
    <w:name w:val="header"/>
    <w:basedOn w:val="Normal"/>
    <w:link w:val="HeaderChar"/>
    <w:uiPriority w:val="99"/>
    <w:unhideWhenUsed/>
    <w:rsid w:val="007C1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5E5"/>
  </w:style>
  <w:style w:type="paragraph" w:styleId="Footer">
    <w:name w:val="footer"/>
    <w:basedOn w:val="Normal"/>
    <w:link w:val="FooterChar"/>
    <w:uiPriority w:val="99"/>
    <w:unhideWhenUsed/>
    <w:rsid w:val="007C1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5E5"/>
  </w:style>
  <w:style w:type="paragraph" w:styleId="FootnoteText">
    <w:name w:val="footnote text"/>
    <w:basedOn w:val="Normal"/>
    <w:link w:val="FootnoteTextChar"/>
    <w:uiPriority w:val="99"/>
    <w:semiHidden/>
    <w:unhideWhenUsed/>
    <w:rsid w:val="00F756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67F"/>
    <w:rPr>
      <w:sz w:val="20"/>
      <w:szCs w:val="20"/>
    </w:rPr>
  </w:style>
  <w:style w:type="character" w:styleId="FootnoteReference">
    <w:name w:val="footnote reference"/>
    <w:basedOn w:val="DefaultParagraphFont"/>
    <w:uiPriority w:val="99"/>
    <w:semiHidden/>
    <w:unhideWhenUsed/>
    <w:rsid w:val="00F7567F"/>
    <w:rPr>
      <w:vertAlign w:val="superscript"/>
    </w:rPr>
  </w:style>
  <w:style w:type="character" w:styleId="CommentReference">
    <w:name w:val="annotation reference"/>
    <w:basedOn w:val="DefaultParagraphFont"/>
    <w:uiPriority w:val="99"/>
    <w:semiHidden/>
    <w:unhideWhenUsed/>
    <w:rsid w:val="001052A2"/>
    <w:rPr>
      <w:sz w:val="16"/>
      <w:szCs w:val="16"/>
    </w:rPr>
  </w:style>
  <w:style w:type="paragraph" w:styleId="CommentText">
    <w:name w:val="annotation text"/>
    <w:basedOn w:val="Normal"/>
    <w:link w:val="CommentTextChar"/>
    <w:uiPriority w:val="99"/>
    <w:semiHidden/>
    <w:unhideWhenUsed/>
    <w:rsid w:val="001052A2"/>
    <w:pPr>
      <w:spacing w:line="240" w:lineRule="auto"/>
    </w:pPr>
    <w:rPr>
      <w:sz w:val="20"/>
      <w:szCs w:val="20"/>
    </w:rPr>
  </w:style>
  <w:style w:type="character" w:customStyle="1" w:styleId="CommentTextChar">
    <w:name w:val="Comment Text Char"/>
    <w:basedOn w:val="DefaultParagraphFont"/>
    <w:link w:val="CommentText"/>
    <w:uiPriority w:val="99"/>
    <w:semiHidden/>
    <w:rsid w:val="001052A2"/>
    <w:rPr>
      <w:sz w:val="20"/>
      <w:szCs w:val="20"/>
    </w:rPr>
  </w:style>
  <w:style w:type="paragraph" w:styleId="CommentSubject">
    <w:name w:val="annotation subject"/>
    <w:basedOn w:val="CommentText"/>
    <w:next w:val="CommentText"/>
    <w:link w:val="CommentSubjectChar"/>
    <w:uiPriority w:val="99"/>
    <w:semiHidden/>
    <w:unhideWhenUsed/>
    <w:rsid w:val="001052A2"/>
    <w:rPr>
      <w:b/>
      <w:bCs/>
    </w:rPr>
  </w:style>
  <w:style w:type="character" w:customStyle="1" w:styleId="CommentSubjectChar">
    <w:name w:val="Comment Subject Char"/>
    <w:basedOn w:val="CommentTextChar"/>
    <w:link w:val="CommentSubject"/>
    <w:uiPriority w:val="99"/>
    <w:semiHidden/>
    <w:rsid w:val="001052A2"/>
    <w:rPr>
      <w:b/>
      <w:bCs/>
      <w:sz w:val="20"/>
      <w:szCs w:val="20"/>
    </w:rPr>
  </w:style>
  <w:style w:type="table" w:styleId="LightList-Accent3">
    <w:name w:val="Light List Accent 3"/>
    <w:basedOn w:val="TableNormal"/>
    <w:uiPriority w:val="61"/>
    <w:rsid w:val="0055612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17"/>
    <w:rPr>
      <w:rFonts w:ascii="Arial" w:hAnsi="Arial"/>
    </w:rPr>
  </w:style>
  <w:style w:type="paragraph" w:styleId="Heading1">
    <w:name w:val="heading 1"/>
    <w:basedOn w:val="Normal"/>
    <w:next w:val="Normal"/>
    <w:link w:val="Heading1Char"/>
    <w:uiPriority w:val="9"/>
    <w:qFormat/>
    <w:rsid w:val="00583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2AA3"/>
    <w:pPr>
      <w:keepNext/>
      <w:keepLines/>
      <w:spacing w:before="200" w:after="0"/>
      <w:outlineLvl w:val="1"/>
    </w:pPr>
    <w:rPr>
      <w:rFonts w:eastAsiaTheme="majorEastAsia" w:cstheme="majorBidi"/>
      <w:b/>
      <w:bCs/>
      <w:color w:val="9BBB59"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E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3EF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83E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2BD4"/>
    <w:pPr>
      <w:spacing w:before="240" w:after="240" w:line="240" w:lineRule="auto"/>
      <w:ind w:left="720"/>
    </w:pPr>
  </w:style>
  <w:style w:type="table" w:styleId="TableGrid">
    <w:name w:val="Table Grid"/>
    <w:basedOn w:val="TableNormal"/>
    <w:uiPriority w:val="59"/>
    <w:rsid w:val="00BF6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F685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BF685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F68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F68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A32AA3"/>
    <w:rPr>
      <w:rFonts w:ascii="Arial" w:eastAsiaTheme="majorEastAsia" w:hAnsi="Arial" w:cstheme="majorBidi"/>
      <w:b/>
      <w:bCs/>
      <w:color w:val="9BBB59" w:themeColor="accent3"/>
      <w:sz w:val="26"/>
      <w:szCs w:val="26"/>
    </w:rPr>
  </w:style>
  <w:style w:type="character" w:styleId="Hyperlink">
    <w:name w:val="Hyperlink"/>
    <w:basedOn w:val="DefaultParagraphFont"/>
    <w:uiPriority w:val="99"/>
    <w:unhideWhenUsed/>
    <w:rsid w:val="007F316A"/>
    <w:rPr>
      <w:color w:val="0000FF" w:themeColor="hyperlink"/>
      <w:u w:val="single"/>
    </w:rPr>
  </w:style>
  <w:style w:type="paragraph" w:styleId="BalloonText">
    <w:name w:val="Balloon Text"/>
    <w:basedOn w:val="Normal"/>
    <w:link w:val="BalloonTextChar"/>
    <w:uiPriority w:val="99"/>
    <w:semiHidden/>
    <w:unhideWhenUsed/>
    <w:rsid w:val="00041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95"/>
    <w:rPr>
      <w:rFonts w:ascii="Tahoma" w:hAnsi="Tahoma" w:cs="Tahoma"/>
      <w:sz w:val="16"/>
      <w:szCs w:val="16"/>
    </w:rPr>
  </w:style>
  <w:style w:type="paragraph" w:styleId="Header">
    <w:name w:val="header"/>
    <w:basedOn w:val="Normal"/>
    <w:link w:val="HeaderChar"/>
    <w:uiPriority w:val="99"/>
    <w:unhideWhenUsed/>
    <w:rsid w:val="007C1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5E5"/>
  </w:style>
  <w:style w:type="paragraph" w:styleId="Footer">
    <w:name w:val="footer"/>
    <w:basedOn w:val="Normal"/>
    <w:link w:val="FooterChar"/>
    <w:uiPriority w:val="99"/>
    <w:unhideWhenUsed/>
    <w:rsid w:val="007C1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5E5"/>
  </w:style>
  <w:style w:type="paragraph" w:styleId="FootnoteText">
    <w:name w:val="footnote text"/>
    <w:basedOn w:val="Normal"/>
    <w:link w:val="FootnoteTextChar"/>
    <w:uiPriority w:val="99"/>
    <w:semiHidden/>
    <w:unhideWhenUsed/>
    <w:rsid w:val="00F756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67F"/>
    <w:rPr>
      <w:sz w:val="20"/>
      <w:szCs w:val="20"/>
    </w:rPr>
  </w:style>
  <w:style w:type="character" w:styleId="FootnoteReference">
    <w:name w:val="footnote reference"/>
    <w:basedOn w:val="DefaultParagraphFont"/>
    <w:uiPriority w:val="99"/>
    <w:semiHidden/>
    <w:unhideWhenUsed/>
    <w:rsid w:val="00F7567F"/>
    <w:rPr>
      <w:vertAlign w:val="superscript"/>
    </w:rPr>
  </w:style>
  <w:style w:type="character" w:styleId="CommentReference">
    <w:name w:val="annotation reference"/>
    <w:basedOn w:val="DefaultParagraphFont"/>
    <w:uiPriority w:val="99"/>
    <w:semiHidden/>
    <w:unhideWhenUsed/>
    <w:rsid w:val="001052A2"/>
    <w:rPr>
      <w:sz w:val="16"/>
      <w:szCs w:val="16"/>
    </w:rPr>
  </w:style>
  <w:style w:type="paragraph" w:styleId="CommentText">
    <w:name w:val="annotation text"/>
    <w:basedOn w:val="Normal"/>
    <w:link w:val="CommentTextChar"/>
    <w:uiPriority w:val="99"/>
    <w:semiHidden/>
    <w:unhideWhenUsed/>
    <w:rsid w:val="001052A2"/>
    <w:pPr>
      <w:spacing w:line="240" w:lineRule="auto"/>
    </w:pPr>
    <w:rPr>
      <w:sz w:val="20"/>
      <w:szCs w:val="20"/>
    </w:rPr>
  </w:style>
  <w:style w:type="character" w:customStyle="1" w:styleId="CommentTextChar">
    <w:name w:val="Comment Text Char"/>
    <w:basedOn w:val="DefaultParagraphFont"/>
    <w:link w:val="CommentText"/>
    <w:uiPriority w:val="99"/>
    <w:semiHidden/>
    <w:rsid w:val="001052A2"/>
    <w:rPr>
      <w:sz w:val="20"/>
      <w:szCs w:val="20"/>
    </w:rPr>
  </w:style>
  <w:style w:type="paragraph" w:styleId="CommentSubject">
    <w:name w:val="annotation subject"/>
    <w:basedOn w:val="CommentText"/>
    <w:next w:val="CommentText"/>
    <w:link w:val="CommentSubjectChar"/>
    <w:uiPriority w:val="99"/>
    <w:semiHidden/>
    <w:unhideWhenUsed/>
    <w:rsid w:val="001052A2"/>
    <w:rPr>
      <w:b/>
      <w:bCs/>
    </w:rPr>
  </w:style>
  <w:style w:type="character" w:customStyle="1" w:styleId="CommentSubjectChar">
    <w:name w:val="Comment Subject Char"/>
    <w:basedOn w:val="CommentTextChar"/>
    <w:link w:val="CommentSubject"/>
    <w:uiPriority w:val="99"/>
    <w:semiHidden/>
    <w:rsid w:val="001052A2"/>
    <w:rPr>
      <w:b/>
      <w:bCs/>
      <w:sz w:val="20"/>
      <w:szCs w:val="20"/>
    </w:rPr>
  </w:style>
  <w:style w:type="table" w:styleId="LightList-Accent3">
    <w:name w:val="Light List Accent 3"/>
    <w:basedOn w:val="TableNormal"/>
    <w:uiPriority w:val="61"/>
    <w:rsid w:val="0055612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5474">
      <w:bodyDiv w:val="1"/>
      <w:marLeft w:val="0"/>
      <w:marRight w:val="0"/>
      <w:marTop w:val="0"/>
      <w:marBottom w:val="0"/>
      <w:divBdr>
        <w:top w:val="none" w:sz="0" w:space="0" w:color="auto"/>
        <w:left w:val="none" w:sz="0" w:space="0" w:color="auto"/>
        <w:bottom w:val="none" w:sz="0" w:space="0" w:color="auto"/>
        <w:right w:val="none" w:sz="0" w:space="0" w:color="auto"/>
      </w:divBdr>
    </w:div>
    <w:div w:id="104143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EF1B-6EC6-44D7-B229-FE9D0A7C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Wheatley</dc:creator>
  <cp:lastModifiedBy>Paul Wheatley</cp:lastModifiedBy>
  <cp:revision>2</cp:revision>
  <cp:lastPrinted>2016-01-26T09:01:00Z</cp:lastPrinted>
  <dcterms:created xsi:type="dcterms:W3CDTF">2017-01-27T16:18:00Z</dcterms:created>
  <dcterms:modified xsi:type="dcterms:W3CDTF">2017-01-27T16:18:00Z</dcterms:modified>
</cp:coreProperties>
</file>