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75" w:rsidRPr="00E716ED" w:rsidRDefault="00FE1518" w:rsidP="000721C3">
      <w:pPr>
        <w:jc w:val="center"/>
        <w:rPr>
          <w:rFonts w:ascii="Arial Black" w:hAnsi="Arial Black" w:cs="Arial"/>
          <w:b/>
          <w:sz w:val="26"/>
          <w:szCs w:val="26"/>
        </w:rPr>
      </w:pPr>
      <w:r w:rsidRPr="00E716ED">
        <w:rPr>
          <w:rFonts w:ascii="Arial Black" w:hAnsi="Arial Black" w:cs="Arial"/>
          <w:b/>
          <w:sz w:val="26"/>
          <w:szCs w:val="26"/>
        </w:rPr>
        <w:t>Commun</w:t>
      </w:r>
      <w:r w:rsidR="00E40275" w:rsidRPr="00E716ED">
        <w:rPr>
          <w:rFonts w:ascii="Arial Black" w:hAnsi="Arial Black" w:cs="Arial"/>
          <w:b/>
          <w:sz w:val="26"/>
          <w:szCs w:val="26"/>
        </w:rPr>
        <w:t>ity Infrastructure Levy</w:t>
      </w:r>
      <w:r w:rsidR="00AD63EB" w:rsidRPr="00E716ED">
        <w:rPr>
          <w:rFonts w:ascii="Arial Black" w:hAnsi="Arial Black" w:cs="Arial"/>
          <w:b/>
          <w:sz w:val="26"/>
          <w:szCs w:val="26"/>
        </w:rPr>
        <w:t xml:space="preserve"> - </w:t>
      </w:r>
      <w:r w:rsidR="00E40275" w:rsidRPr="00E716ED">
        <w:rPr>
          <w:rFonts w:ascii="Arial Black" w:hAnsi="Arial Black" w:cs="Arial"/>
          <w:b/>
          <w:sz w:val="26"/>
          <w:szCs w:val="26"/>
        </w:rPr>
        <w:t>Guidance</w:t>
      </w:r>
    </w:p>
    <w:p w:rsidR="00FE1518" w:rsidRDefault="00FE1518" w:rsidP="0086455B">
      <w:pPr>
        <w:jc w:val="both"/>
        <w:rPr>
          <w:rFonts w:ascii="Arial" w:hAnsi="Arial" w:cs="Arial"/>
          <w:color w:val="FF0000"/>
          <w:sz w:val="22"/>
          <w:szCs w:val="22"/>
        </w:rPr>
      </w:pPr>
    </w:p>
    <w:p w:rsidR="00AD63EB" w:rsidRDefault="00AD63EB" w:rsidP="0086455B">
      <w:pPr>
        <w:jc w:val="both"/>
        <w:rPr>
          <w:rFonts w:ascii="Arial" w:hAnsi="Arial" w:cs="Arial"/>
          <w:color w:val="FF0000"/>
          <w:sz w:val="22"/>
          <w:szCs w:val="22"/>
        </w:rPr>
      </w:pPr>
    </w:p>
    <w:p w:rsidR="000721C3" w:rsidRDefault="000721C3" w:rsidP="0086455B">
      <w:pPr>
        <w:jc w:val="both"/>
        <w:rPr>
          <w:rFonts w:ascii="Arial" w:hAnsi="Arial" w:cs="Arial"/>
          <w:color w:val="FF0000"/>
          <w:sz w:val="22"/>
          <w:szCs w:val="22"/>
        </w:rPr>
      </w:pPr>
    </w:p>
    <w:p w:rsidR="00AD63EB" w:rsidRPr="00E716ED" w:rsidRDefault="00AD63EB" w:rsidP="0086455B">
      <w:pPr>
        <w:jc w:val="both"/>
        <w:rPr>
          <w:rFonts w:ascii="Arial" w:hAnsi="Arial" w:cs="Arial"/>
          <w:b/>
          <w:szCs w:val="22"/>
        </w:rPr>
      </w:pPr>
      <w:r w:rsidRPr="00E716ED">
        <w:rPr>
          <w:rFonts w:ascii="Arial" w:hAnsi="Arial" w:cs="Arial"/>
          <w:b/>
          <w:szCs w:val="22"/>
        </w:rPr>
        <w:t>Purpose of the Report</w:t>
      </w:r>
    </w:p>
    <w:p w:rsidR="00AD63EB" w:rsidRDefault="00AD63EB" w:rsidP="0086455B">
      <w:pPr>
        <w:jc w:val="both"/>
        <w:rPr>
          <w:rFonts w:ascii="Arial" w:hAnsi="Arial" w:cs="Arial"/>
          <w:color w:val="FF0000"/>
          <w:sz w:val="22"/>
          <w:szCs w:val="22"/>
        </w:rPr>
      </w:pPr>
    </w:p>
    <w:p w:rsidR="00AD63EB" w:rsidRDefault="000721C3" w:rsidP="000D4845">
      <w:pPr>
        <w:pStyle w:val="ListParagraph"/>
        <w:numPr>
          <w:ilvl w:val="0"/>
          <w:numId w:val="4"/>
        </w:numPr>
        <w:ind w:left="426" w:hanging="426"/>
        <w:jc w:val="both"/>
        <w:rPr>
          <w:rFonts w:ascii="Arial" w:hAnsi="Arial" w:cs="Arial"/>
          <w:sz w:val="22"/>
          <w:szCs w:val="22"/>
        </w:rPr>
      </w:pPr>
      <w:r w:rsidRPr="000721C3">
        <w:rPr>
          <w:rFonts w:ascii="Arial" w:hAnsi="Arial" w:cs="Arial"/>
          <w:sz w:val="22"/>
          <w:szCs w:val="22"/>
        </w:rPr>
        <w:t xml:space="preserve">To provide Town and Parish Councils </w:t>
      </w:r>
      <w:r w:rsidR="00AD63EB" w:rsidRPr="000721C3">
        <w:rPr>
          <w:rFonts w:ascii="Arial" w:hAnsi="Arial" w:cs="Arial"/>
          <w:sz w:val="22"/>
          <w:szCs w:val="22"/>
        </w:rPr>
        <w:t>with more detailed information about the Community Infrastructure Levy</w:t>
      </w:r>
      <w:r w:rsidRPr="000721C3">
        <w:rPr>
          <w:rFonts w:ascii="Arial" w:hAnsi="Arial" w:cs="Arial"/>
          <w:sz w:val="22"/>
          <w:szCs w:val="22"/>
        </w:rPr>
        <w:t>.</w:t>
      </w:r>
      <w:r w:rsidR="00AD63EB" w:rsidRPr="000721C3">
        <w:rPr>
          <w:rFonts w:ascii="Arial" w:hAnsi="Arial" w:cs="Arial"/>
          <w:sz w:val="22"/>
          <w:szCs w:val="22"/>
        </w:rPr>
        <w:t xml:space="preserve"> </w:t>
      </w:r>
    </w:p>
    <w:p w:rsidR="000721C3" w:rsidRPr="000721C3" w:rsidRDefault="000721C3" w:rsidP="000721C3">
      <w:pPr>
        <w:pStyle w:val="ListParagraph"/>
        <w:ind w:left="426"/>
        <w:jc w:val="both"/>
        <w:rPr>
          <w:rFonts w:ascii="Arial" w:hAnsi="Arial" w:cs="Arial"/>
          <w:sz w:val="22"/>
          <w:szCs w:val="22"/>
        </w:rPr>
      </w:pPr>
    </w:p>
    <w:p w:rsidR="006F39AD" w:rsidRDefault="006F39AD" w:rsidP="006F39AD">
      <w:pPr>
        <w:pStyle w:val="ListParagraph"/>
        <w:jc w:val="both"/>
        <w:rPr>
          <w:rFonts w:ascii="Arial" w:hAnsi="Arial" w:cs="Arial"/>
          <w:sz w:val="22"/>
          <w:szCs w:val="22"/>
        </w:rPr>
      </w:pPr>
    </w:p>
    <w:p w:rsidR="00FE1518" w:rsidRPr="00E716ED" w:rsidRDefault="00FE1518" w:rsidP="0086455B">
      <w:pPr>
        <w:jc w:val="both"/>
        <w:rPr>
          <w:rFonts w:ascii="Arial" w:hAnsi="Arial" w:cs="Arial"/>
          <w:b/>
          <w:szCs w:val="22"/>
        </w:rPr>
      </w:pPr>
      <w:r w:rsidRPr="00E716ED">
        <w:rPr>
          <w:rFonts w:ascii="Arial" w:hAnsi="Arial" w:cs="Arial"/>
          <w:b/>
          <w:szCs w:val="22"/>
        </w:rPr>
        <w:t>Summary</w:t>
      </w:r>
      <w:r w:rsidR="004A5B99" w:rsidRPr="00E716ED">
        <w:rPr>
          <w:rFonts w:ascii="Arial" w:hAnsi="Arial" w:cs="Arial"/>
          <w:b/>
          <w:szCs w:val="22"/>
        </w:rPr>
        <w:t>/Background</w:t>
      </w:r>
    </w:p>
    <w:p w:rsidR="00FE1518" w:rsidRPr="004B0444" w:rsidRDefault="00FE1518" w:rsidP="0086455B">
      <w:pPr>
        <w:jc w:val="both"/>
        <w:rPr>
          <w:rFonts w:ascii="Arial" w:hAnsi="Arial" w:cs="Arial"/>
          <w:sz w:val="22"/>
          <w:szCs w:val="22"/>
          <w:u w:val="single"/>
        </w:rPr>
      </w:pPr>
    </w:p>
    <w:p w:rsidR="00FE1518" w:rsidRPr="009069F1" w:rsidRDefault="00D51856" w:rsidP="009069F1">
      <w:pPr>
        <w:pStyle w:val="ListParagraph"/>
        <w:numPr>
          <w:ilvl w:val="0"/>
          <w:numId w:val="4"/>
        </w:numPr>
        <w:ind w:left="426" w:hanging="426"/>
        <w:jc w:val="both"/>
        <w:rPr>
          <w:rFonts w:ascii="Arial" w:hAnsi="Arial" w:cs="Arial"/>
          <w:sz w:val="22"/>
          <w:szCs w:val="22"/>
        </w:rPr>
      </w:pPr>
      <w:r>
        <w:rPr>
          <w:rFonts w:ascii="Arial" w:hAnsi="Arial" w:cs="Arial"/>
          <w:sz w:val="22"/>
          <w:szCs w:val="22"/>
        </w:rPr>
        <w:t>South Somerset</w:t>
      </w:r>
      <w:r w:rsidR="00251443" w:rsidRPr="009069F1">
        <w:rPr>
          <w:rFonts w:ascii="Arial" w:hAnsi="Arial" w:cs="Arial"/>
          <w:sz w:val="22"/>
          <w:szCs w:val="22"/>
        </w:rPr>
        <w:t xml:space="preserve"> District C</w:t>
      </w:r>
      <w:r w:rsidR="00FE1518" w:rsidRPr="009069F1">
        <w:rPr>
          <w:rFonts w:ascii="Arial" w:hAnsi="Arial" w:cs="Arial"/>
          <w:sz w:val="22"/>
          <w:szCs w:val="22"/>
        </w:rPr>
        <w:t>ouncil implemented the South Somerset CIL charging regime on April 1</w:t>
      </w:r>
      <w:r w:rsidR="00FE1518" w:rsidRPr="009069F1">
        <w:rPr>
          <w:rFonts w:ascii="Arial" w:hAnsi="Arial" w:cs="Arial"/>
          <w:sz w:val="22"/>
          <w:szCs w:val="22"/>
          <w:vertAlign w:val="superscript"/>
        </w:rPr>
        <w:t>st</w:t>
      </w:r>
      <w:r w:rsidR="00FE1518" w:rsidRPr="009069F1">
        <w:rPr>
          <w:rFonts w:ascii="Arial" w:hAnsi="Arial" w:cs="Arial"/>
          <w:sz w:val="22"/>
          <w:szCs w:val="22"/>
        </w:rPr>
        <w:t xml:space="preserve"> 2017.</w:t>
      </w:r>
      <w:r w:rsidR="00690BFE" w:rsidRPr="009069F1">
        <w:rPr>
          <w:rFonts w:ascii="Arial" w:hAnsi="Arial" w:cs="Arial"/>
          <w:sz w:val="22"/>
          <w:szCs w:val="22"/>
        </w:rPr>
        <w:t xml:space="preserve">  A requirement of the CIL regulations is that the lo</w:t>
      </w:r>
      <w:r w:rsidR="00251443" w:rsidRPr="009069F1">
        <w:rPr>
          <w:rFonts w:ascii="Arial" w:hAnsi="Arial" w:cs="Arial"/>
          <w:sz w:val="22"/>
          <w:szCs w:val="22"/>
        </w:rPr>
        <w:t>cal authority will establish a g</w:t>
      </w:r>
      <w:r w:rsidR="00690BFE" w:rsidRPr="009069F1">
        <w:rPr>
          <w:rFonts w:ascii="Arial" w:hAnsi="Arial" w:cs="Arial"/>
          <w:sz w:val="22"/>
          <w:szCs w:val="22"/>
        </w:rPr>
        <w:t>overnance structure to overse</w:t>
      </w:r>
      <w:r w:rsidR="00D76D26" w:rsidRPr="009069F1">
        <w:rPr>
          <w:rFonts w:ascii="Arial" w:hAnsi="Arial" w:cs="Arial"/>
          <w:sz w:val="22"/>
          <w:szCs w:val="22"/>
        </w:rPr>
        <w:t>e the collection, auditing and s</w:t>
      </w:r>
      <w:r w:rsidR="00FA0219" w:rsidRPr="009069F1">
        <w:rPr>
          <w:rFonts w:ascii="Arial" w:hAnsi="Arial" w:cs="Arial"/>
          <w:sz w:val="22"/>
          <w:szCs w:val="22"/>
        </w:rPr>
        <w:t>pending of CIL monies.</w:t>
      </w:r>
      <w:r w:rsidR="00FD79BC" w:rsidRPr="009069F1">
        <w:rPr>
          <w:rFonts w:ascii="Arial" w:hAnsi="Arial" w:cs="Arial"/>
          <w:sz w:val="22"/>
          <w:szCs w:val="22"/>
        </w:rPr>
        <w:t xml:space="preserve"> South Somerset will therefore</w:t>
      </w:r>
      <w:r w:rsidR="00FA0219" w:rsidRPr="009069F1">
        <w:rPr>
          <w:rFonts w:ascii="Arial" w:hAnsi="Arial" w:cs="Arial"/>
          <w:sz w:val="22"/>
          <w:szCs w:val="22"/>
        </w:rPr>
        <w:t xml:space="preserve"> produce an annual report detailing CIL receipts, balances and spend for each financial year</w:t>
      </w:r>
      <w:r w:rsidR="00956101" w:rsidRPr="009069F1">
        <w:rPr>
          <w:rFonts w:ascii="Arial" w:hAnsi="Arial" w:cs="Arial"/>
          <w:sz w:val="22"/>
          <w:szCs w:val="22"/>
        </w:rPr>
        <w:t>.</w:t>
      </w:r>
      <w:r w:rsidR="00FA0219" w:rsidRPr="009069F1">
        <w:rPr>
          <w:rFonts w:ascii="Arial" w:hAnsi="Arial" w:cs="Arial"/>
          <w:sz w:val="22"/>
          <w:szCs w:val="22"/>
        </w:rPr>
        <w:t xml:space="preserve">  </w:t>
      </w:r>
    </w:p>
    <w:p w:rsidR="00690BFE" w:rsidRPr="004B0444" w:rsidRDefault="00690BFE" w:rsidP="000721C3">
      <w:pPr>
        <w:jc w:val="both"/>
        <w:rPr>
          <w:rFonts w:ascii="Arial" w:hAnsi="Arial" w:cs="Arial"/>
          <w:sz w:val="22"/>
          <w:szCs w:val="22"/>
        </w:rPr>
      </w:pPr>
    </w:p>
    <w:p w:rsidR="008A3D33" w:rsidRPr="009069F1" w:rsidRDefault="008A3D33" w:rsidP="009069F1">
      <w:pPr>
        <w:pStyle w:val="ListParagraph"/>
        <w:numPr>
          <w:ilvl w:val="0"/>
          <w:numId w:val="4"/>
        </w:numPr>
        <w:ind w:left="426" w:hanging="426"/>
        <w:jc w:val="both"/>
        <w:rPr>
          <w:rFonts w:ascii="Arial" w:hAnsi="Arial" w:cs="Arial"/>
          <w:sz w:val="22"/>
          <w:szCs w:val="22"/>
        </w:rPr>
      </w:pPr>
      <w:r w:rsidRPr="009069F1">
        <w:rPr>
          <w:rFonts w:ascii="Arial" w:hAnsi="Arial" w:cs="Arial"/>
          <w:sz w:val="22"/>
          <w:szCs w:val="22"/>
        </w:rPr>
        <w:t>In orde</w:t>
      </w:r>
      <w:r w:rsidR="00617375" w:rsidRPr="009069F1">
        <w:rPr>
          <w:rFonts w:ascii="Arial" w:hAnsi="Arial" w:cs="Arial"/>
          <w:sz w:val="22"/>
          <w:szCs w:val="22"/>
        </w:rPr>
        <w:t>r to justify adopting a CIL cha</w:t>
      </w:r>
      <w:r w:rsidRPr="009069F1">
        <w:rPr>
          <w:rFonts w:ascii="Arial" w:hAnsi="Arial" w:cs="Arial"/>
          <w:sz w:val="22"/>
          <w:szCs w:val="22"/>
        </w:rPr>
        <w:t>rge the council was</w:t>
      </w:r>
      <w:r w:rsidR="00617375" w:rsidRPr="009069F1">
        <w:rPr>
          <w:rFonts w:ascii="Arial" w:hAnsi="Arial" w:cs="Arial"/>
          <w:sz w:val="22"/>
          <w:szCs w:val="22"/>
        </w:rPr>
        <w:t xml:space="preserve"> required to demonstrate that there was a funding gap.  This was calculated by </w:t>
      </w:r>
      <w:r w:rsidR="001B52DE" w:rsidRPr="009069F1">
        <w:rPr>
          <w:rFonts w:ascii="Arial" w:hAnsi="Arial" w:cs="Arial"/>
          <w:sz w:val="22"/>
          <w:szCs w:val="22"/>
        </w:rPr>
        <w:t>carrying out an assessment of the infrastructure required to meet the needs of future development.  This forms the Infrastructure Delivery Plan (IDP) that has been produced following consult</w:t>
      </w:r>
      <w:r w:rsidR="004A5B99" w:rsidRPr="009069F1">
        <w:rPr>
          <w:rFonts w:ascii="Arial" w:hAnsi="Arial" w:cs="Arial"/>
          <w:sz w:val="22"/>
          <w:szCs w:val="22"/>
        </w:rPr>
        <w:t>at</w:t>
      </w:r>
      <w:r w:rsidR="001B52DE" w:rsidRPr="009069F1">
        <w:rPr>
          <w:rFonts w:ascii="Arial" w:hAnsi="Arial" w:cs="Arial"/>
          <w:sz w:val="22"/>
          <w:szCs w:val="22"/>
        </w:rPr>
        <w:t>ion with a wide range of stakeholders including the providers of</w:t>
      </w:r>
      <w:r w:rsidR="00E40275" w:rsidRPr="009069F1">
        <w:rPr>
          <w:rFonts w:ascii="Arial" w:hAnsi="Arial" w:cs="Arial"/>
          <w:sz w:val="22"/>
          <w:szCs w:val="22"/>
        </w:rPr>
        <w:t xml:space="preserve"> services such as </w:t>
      </w:r>
      <w:r w:rsidR="00251443" w:rsidRPr="009069F1">
        <w:rPr>
          <w:rFonts w:ascii="Arial" w:hAnsi="Arial" w:cs="Arial"/>
          <w:sz w:val="22"/>
          <w:szCs w:val="22"/>
        </w:rPr>
        <w:t>h</w:t>
      </w:r>
      <w:r w:rsidR="001B52DE" w:rsidRPr="009069F1">
        <w:rPr>
          <w:rFonts w:ascii="Arial" w:hAnsi="Arial" w:cs="Arial"/>
          <w:sz w:val="22"/>
          <w:szCs w:val="22"/>
        </w:rPr>
        <w:t>ealth</w:t>
      </w:r>
      <w:r w:rsidR="00251443" w:rsidRPr="009069F1">
        <w:rPr>
          <w:rFonts w:ascii="Arial" w:hAnsi="Arial" w:cs="Arial"/>
          <w:sz w:val="22"/>
          <w:szCs w:val="22"/>
        </w:rPr>
        <w:t xml:space="preserve"> and h</w:t>
      </w:r>
      <w:r w:rsidR="00E40275" w:rsidRPr="009069F1">
        <w:rPr>
          <w:rFonts w:ascii="Arial" w:hAnsi="Arial" w:cs="Arial"/>
          <w:sz w:val="22"/>
          <w:szCs w:val="22"/>
        </w:rPr>
        <w:t>ighways</w:t>
      </w:r>
      <w:r w:rsidR="001B52DE" w:rsidRPr="009069F1">
        <w:rPr>
          <w:rFonts w:ascii="Arial" w:hAnsi="Arial" w:cs="Arial"/>
          <w:sz w:val="22"/>
          <w:szCs w:val="22"/>
        </w:rPr>
        <w:t xml:space="preserve">. </w:t>
      </w:r>
    </w:p>
    <w:p w:rsidR="00617375" w:rsidRPr="004B0444" w:rsidRDefault="00617375" w:rsidP="009069F1">
      <w:pPr>
        <w:ind w:left="426" w:hanging="426"/>
        <w:jc w:val="both"/>
        <w:rPr>
          <w:rFonts w:ascii="Arial" w:hAnsi="Arial" w:cs="Arial"/>
          <w:sz w:val="22"/>
          <w:szCs w:val="22"/>
        </w:rPr>
      </w:pPr>
    </w:p>
    <w:p w:rsidR="00617375" w:rsidRPr="009069F1" w:rsidRDefault="00617375" w:rsidP="009069F1">
      <w:pPr>
        <w:pStyle w:val="ListParagraph"/>
        <w:numPr>
          <w:ilvl w:val="0"/>
          <w:numId w:val="4"/>
        </w:numPr>
        <w:ind w:left="426" w:hanging="426"/>
        <w:jc w:val="both"/>
        <w:rPr>
          <w:rFonts w:ascii="Arial" w:hAnsi="Arial" w:cs="Arial"/>
          <w:sz w:val="22"/>
          <w:szCs w:val="22"/>
        </w:rPr>
      </w:pPr>
      <w:r w:rsidRPr="009069F1">
        <w:rPr>
          <w:rFonts w:ascii="Arial" w:hAnsi="Arial" w:cs="Arial"/>
          <w:sz w:val="22"/>
          <w:szCs w:val="22"/>
        </w:rPr>
        <w:t xml:space="preserve">The </w:t>
      </w:r>
      <w:r w:rsidR="004A5B99" w:rsidRPr="009069F1">
        <w:rPr>
          <w:rFonts w:ascii="Arial" w:hAnsi="Arial" w:cs="Arial"/>
          <w:sz w:val="22"/>
          <w:szCs w:val="22"/>
        </w:rPr>
        <w:t xml:space="preserve">detailed viability assessment was considered by a Planning Inspector in 2016 and he concluded that the council’s </w:t>
      </w:r>
      <w:r w:rsidR="00B700E2" w:rsidRPr="009069F1">
        <w:rPr>
          <w:rFonts w:ascii="Arial" w:hAnsi="Arial" w:cs="Arial"/>
          <w:sz w:val="22"/>
          <w:szCs w:val="22"/>
        </w:rPr>
        <w:t>draft charging schedule was robust and reasonable.  The key points from the charging schedule are:</w:t>
      </w:r>
    </w:p>
    <w:p w:rsidR="006F39AD" w:rsidRPr="004B0444" w:rsidRDefault="006F39AD" w:rsidP="0086455B">
      <w:pPr>
        <w:jc w:val="both"/>
        <w:rPr>
          <w:rFonts w:ascii="Arial" w:hAnsi="Arial" w:cs="Arial"/>
          <w:sz w:val="22"/>
          <w:szCs w:val="22"/>
        </w:rPr>
      </w:pPr>
    </w:p>
    <w:p w:rsidR="00B700E2" w:rsidRPr="004B0444" w:rsidRDefault="00B700E2" w:rsidP="0086455B">
      <w:pPr>
        <w:pStyle w:val="ListParagraph"/>
        <w:numPr>
          <w:ilvl w:val="0"/>
          <w:numId w:val="1"/>
        </w:numPr>
        <w:jc w:val="both"/>
        <w:rPr>
          <w:rFonts w:ascii="Arial" w:hAnsi="Arial" w:cs="Arial"/>
          <w:sz w:val="22"/>
          <w:szCs w:val="22"/>
        </w:rPr>
      </w:pPr>
      <w:r w:rsidRPr="004B0444">
        <w:rPr>
          <w:rFonts w:ascii="Arial" w:hAnsi="Arial" w:cs="Arial"/>
          <w:sz w:val="22"/>
          <w:szCs w:val="22"/>
        </w:rPr>
        <w:t>Residential development is charged at £40 per sq</w:t>
      </w:r>
      <w:r w:rsidR="00CF3C9D" w:rsidRPr="004B0444">
        <w:rPr>
          <w:rFonts w:ascii="Arial" w:hAnsi="Arial" w:cs="Arial"/>
          <w:sz w:val="22"/>
          <w:szCs w:val="22"/>
        </w:rPr>
        <w:t>.</w:t>
      </w:r>
      <w:r w:rsidRPr="004B0444">
        <w:rPr>
          <w:rFonts w:ascii="Arial" w:hAnsi="Arial" w:cs="Arial"/>
          <w:sz w:val="22"/>
          <w:szCs w:val="22"/>
        </w:rPr>
        <w:t xml:space="preserve"> m</w:t>
      </w:r>
    </w:p>
    <w:p w:rsidR="00B700E2" w:rsidRPr="004B0444" w:rsidRDefault="00B700E2" w:rsidP="0086455B">
      <w:pPr>
        <w:pStyle w:val="ListParagraph"/>
        <w:numPr>
          <w:ilvl w:val="0"/>
          <w:numId w:val="1"/>
        </w:numPr>
        <w:jc w:val="both"/>
        <w:rPr>
          <w:rFonts w:ascii="Arial" w:hAnsi="Arial" w:cs="Arial"/>
          <w:sz w:val="22"/>
          <w:szCs w:val="22"/>
        </w:rPr>
      </w:pPr>
      <w:r w:rsidRPr="004B0444">
        <w:rPr>
          <w:rFonts w:ascii="Arial" w:hAnsi="Arial" w:cs="Arial"/>
          <w:sz w:val="22"/>
          <w:szCs w:val="22"/>
        </w:rPr>
        <w:t xml:space="preserve">Commercial/industrial development is not sufficiently profitable to make a CIL </w:t>
      </w:r>
      <w:r w:rsidR="00FB70E1" w:rsidRPr="004B0444">
        <w:rPr>
          <w:rFonts w:ascii="Arial" w:hAnsi="Arial" w:cs="Arial"/>
          <w:sz w:val="22"/>
          <w:szCs w:val="22"/>
        </w:rPr>
        <w:t xml:space="preserve">contribution </w:t>
      </w:r>
    </w:p>
    <w:p w:rsidR="00B700E2" w:rsidRPr="004B0444" w:rsidRDefault="00B700E2" w:rsidP="0086455B">
      <w:pPr>
        <w:pStyle w:val="ListParagraph"/>
        <w:numPr>
          <w:ilvl w:val="0"/>
          <w:numId w:val="1"/>
        </w:numPr>
        <w:jc w:val="both"/>
        <w:rPr>
          <w:rFonts w:ascii="Arial" w:hAnsi="Arial" w:cs="Arial"/>
          <w:sz w:val="22"/>
          <w:szCs w:val="22"/>
        </w:rPr>
      </w:pPr>
      <w:r w:rsidRPr="004B0444">
        <w:rPr>
          <w:rFonts w:ascii="Arial" w:hAnsi="Arial" w:cs="Arial"/>
          <w:sz w:val="22"/>
          <w:szCs w:val="22"/>
        </w:rPr>
        <w:t>Out</w:t>
      </w:r>
      <w:r w:rsidR="009F2BC9" w:rsidRPr="004B0444">
        <w:rPr>
          <w:rFonts w:ascii="Arial" w:hAnsi="Arial" w:cs="Arial"/>
          <w:sz w:val="22"/>
          <w:szCs w:val="22"/>
        </w:rPr>
        <w:t xml:space="preserve"> of town large retail is charged</w:t>
      </w:r>
      <w:r w:rsidRPr="004B0444">
        <w:rPr>
          <w:rFonts w:ascii="Arial" w:hAnsi="Arial" w:cs="Arial"/>
          <w:sz w:val="22"/>
          <w:szCs w:val="22"/>
        </w:rPr>
        <w:t xml:space="preserve"> at £100 per sq</w:t>
      </w:r>
      <w:r w:rsidR="00CF3C9D" w:rsidRPr="004B0444">
        <w:rPr>
          <w:rFonts w:ascii="Arial" w:hAnsi="Arial" w:cs="Arial"/>
          <w:sz w:val="22"/>
          <w:szCs w:val="22"/>
        </w:rPr>
        <w:t>.</w:t>
      </w:r>
      <w:r w:rsidRPr="004B0444">
        <w:rPr>
          <w:rFonts w:ascii="Arial" w:hAnsi="Arial" w:cs="Arial"/>
          <w:sz w:val="22"/>
          <w:szCs w:val="22"/>
        </w:rPr>
        <w:t xml:space="preserve"> m</w:t>
      </w:r>
    </w:p>
    <w:p w:rsidR="00A6524D" w:rsidRPr="004B0444" w:rsidRDefault="00251443" w:rsidP="0086455B">
      <w:pPr>
        <w:pStyle w:val="ListParagraph"/>
        <w:numPr>
          <w:ilvl w:val="0"/>
          <w:numId w:val="1"/>
        </w:numPr>
        <w:jc w:val="both"/>
        <w:rPr>
          <w:rFonts w:ascii="Arial" w:hAnsi="Arial" w:cs="Arial"/>
          <w:sz w:val="22"/>
          <w:szCs w:val="22"/>
        </w:rPr>
      </w:pPr>
      <w:r>
        <w:rPr>
          <w:rFonts w:ascii="Arial" w:hAnsi="Arial" w:cs="Arial"/>
          <w:sz w:val="22"/>
          <w:szCs w:val="22"/>
        </w:rPr>
        <w:t>The urban extensions</w:t>
      </w:r>
      <w:r w:rsidR="00B700E2" w:rsidRPr="004B0444">
        <w:rPr>
          <w:rFonts w:ascii="Arial" w:hAnsi="Arial" w:cs="Arial"/>
          <w:sz w:val="22"/>
          <w:szCs w:val="22"/>
        </w:rPr>
        <w:t xml:space="preserve"> </w:t>
      </w:r>
      <w:r w:rsidR="009F2BC9" w:rsidRPr="004B0444">
        <w:rPr>
          <w:rFonts w:ascii="Arial" w:hAnsi="Arial" w:cs="Arial"/>
          <w:sz w:val="22"/>
          <w:szCs w:val="22"/>
        </w:rPr>
        <w:t xml:space="preserve">in Yeovil and </w:t>
      </w:r>
      <w:r>
        <w:rPr>
          <w:rFonts w:ascii="Arial" w:hAnsi="Arial" w:cs="Arial"/>
          <w:sz w:val="22"/>
          <w:szCs w:val="22"/>
        </w:rPr>
        <w:t xml:space="preserve">the eastern growth area in </w:t>
      </w:r>
      <w:r w:rsidR="009F2BC9" w:rsidRPr="004B0444">
        <w:rPr>
          <w:rFonts w:ascii="Arial" w:hAnsi="Arial" w:cs="Arial"/>
          <w:sz w:val="22"/>
          <w:szCs w:val="22"/>
        </w:rPr>
        <w:t xml:space="preserve">Chard </w:t>
      </w:r>
      <w:r w:rsidR="00B700E2" w:rsidRPr="004B0444">
        <w:rPr>
          <w:rFonts w:ascii="Arial" w:hAnsi="Arial" w:cs="Arial"/>
          <w:sz w:val="22"/>
          <w:szCs w:val="22"/>
        </w:rPr>
        <w:t>should be exempt from CIL as they will be making an equivalent contribution through the Section 106 requirements</w:t>
      </w:r>
    </w:p>
    <w:p w:rsidR="001537A2" w:rsidRPr="004B0444" w:rsidRDefault="001537A2" w:rsidP="0086455B">
      <w:pPr>
        <w:pStyle w:val="ListParagraph"/>
        <w:numPr>
          <w:ilvl w:val="0"/>
          <w:numId w:val="1"/>
        </w:numPr>
        <w:jc w:val="both"/>
        <w:rPr>
          <w:rFonts w:ascii="Arial" w:hAnsi="Arial" w:cs="Arial"/>
          <w:sz w:val="22"/>
          <w:szCs w:val="22"/>
        </w:rPr>
      </w:pPr>
      <w:r w:rsidRPr="004B0444">
        <w:rPr>
          <w:rFonts w:ascii="Arial" w:hAnsi="Arial" w:cs="Arial"/>
          <w:sz w:val="22"/>
          <w:szCs w:val="22"/>
        </w:rPr>
        <w:t>Affordable housing and self-</w:t>
      </w:r>
      <w:r w:rsidR="00E40275" w:rsidRPr="004B0444">
        <w:rPr>
          <w:rFonts w:ascii="Arial" w:hAnsi="Arial" w:cs="Arial"/>
          <w:sz w:val="22"/>
          <w:szCs w:val="22"/>
        </w:rPr>
        <w:t>build are normally</w:t>
      </w:r>
      <w:r w:rsidRPr="004B0444">
        <w:rPr>
          <w:rFonts w:ascii="Arial" w:hAnsi="Arial" w:cs="Arial"/>
          <w:sz w:val="22"/>
          <w:szCs w:val="22"/>
        </w:rPr>
        <w:t xml:space="preserve"> exempt</w:t>
      </w:r>
      <w:r w:rsidR="00E40275" w:rsidRPr="004B0444">
        <w:rPr>
          <w:rFonts w:ascii="Arial" w:hAnsi="Arial" w:cs="Arial"/>
          <w:sz w:val="22"/>
          <w:szCs w:val="22"/>
        </w:rPr>
        <w:t xml:space="preserve"> from the charge</w:t>
      </w:r>
    </w:p>
    <w:p w:rsidR="009F2BC9" w:rsidRPr="004B0444" w:rsidRDefault="009F2BC9" w:rsidP="0086455B">
      <w:pPr>
        <w:jc w:val="both"/>
        <w:rPr>
          <w:rFonts w:ascii="Arial" w:hAnsi="Arial" w:cs="Arial"/>
          <w:sz w:val="22"/>
          <w:szCs w:val="22"/>
        </w:rPr>
      </w:pPr>
    </w:p>
    <w:p w:rsidR="002F3117" w:rsidRPr="001A665F" w:rsidRDefault="009F2BC9" w:rsidP="00737A3E">
      <w:pPr>
        <w:pStyle w:val="ListParagraph"/>
        <w:numPr>
          <w:ilvl w:val="0"/>
          <w:numId w:val="4"/>
        </w:numPr>
        <w:ind w:left="426" w:hanging="426"/>
        <w:jc w:val="both"/>
        <w:rPr>
          <w:rFonts w:ascii="Arial" w:hAnsi="Arial" w:cs="Arial"/>
          <w:b/>
          <w:sz w:val="22"/>
          <w:szCs w:val="22"/>
        </w:rPr>
      </w:pPr>
      <w:r w:rsidRPr="001A665F">
        <w:rPr>
          <w:rFonts w:ascii="Arial" w:hAnsi="Arial" w:cs="Arial"/>
          <w:sz w:val="22"/>
          <w:szCs w:val="22"/>
        </w:rPr>
        <w:t xml:space="preserve">As part of the submission to the Inspector the council was required to submit what is known as a </w:t>
      </w:r>
      <w:r w:rsidRPr="001A665F">
        <w:rPr>
          <w:rFonts w:ascii="Arial" w:hAnsi="Arial" w:cs="Arial"/>
          <w:sz w:val="22"/>
          <w:szCs w:val="22"/>
          <w:u w:val="single"/>
        </w:rPr>
        <w:t>Regulation 123 list</w:t>
      </w:r>
      <w:r w:rsidRPr="001A665F">
        <w:rPr>
          <w:rFonts w:ascii="Arial" w:hAnsi="Arial" w:cs="Arial"/>
          <w:sz w:val="22"/>
          <w:szCs w:val="22"/>
        </w:rPr>
        <w:t>.  This identifies the infrastructure that will</w:t>
      </w:r>
      <w:r w:rsidR="001A665F" w:rsidRPr="001A665F">
        <w:rPr>
          <w:rFonts w:ascii="Arial" w:hAnsi="Arial" w:cs="Arial"/>
          <w:sz w:val="22"/>
          <w:szCs w:val="22"/>
        </w:rPr>
        <w:t xml:space="preserve"> be funded by CIL and what will</w:t>
      </w:r>
      <w:r w:rsidRPr="001A665F">
        <w:rPr>
          <w:rFonts w:ascii="Arial" w:hAnsi="Arial" w:cs="Arial"/>
          <w:sz w:val="22"/>
          <w:szCs w:val="22"/>
        </w:rPr>
        <w:t xml:space="preserve"> continue to be funded by Section 106 contributions</w:t>
      </w:r>
      <w:r w:rsidR="001A665F" w:rsidRPr="001A665F">
        <w:rPr>
          <w:rFonts w:ascii="Arial" w:hAnsi="Arial" w:cs="Arial"/>
          <w:sz w:val="22"/>
          <w:szCs w:val="22"/>
        </w:rPr>
        <w:t>.</w:t>
      </w:r>
      <w:r w:rsidRPr="001A665F">
        <w:rPr>
          <w:rFonts w:ascii="Arial" w:hAnsi="Arial" w:cs="Arial"/>
          <w:sz w:val="22"/>
          <w:szCs w:val="22"/>
        </w:rPr>
        <w:t xml:space="preserve">  </w:t>
      </w:r>
    </w:p>
    <w:p w:rsidR="001A665F" w:rsidRPr="001A665F" w:rsidRDefault="001A665F" w:rsidP="001A665F">
      <w:pPr>
        <w:jc w:val="both"/>
        <w:rPr>
          <w:rFonts w:ascii="Arial" w:hAnsi="Arial" w:cs="Arial"/>
          <w:b/>
          <w:sz w:val="22"/>
          <w:szCs w:val="22"/>
        </w:rPr>
      </w:pPr>
    </w:p>
    <w:p w:rsidR="009B7AF1" w:rsidRPr="009069F1" w:rsidRDefault="00D51856" w:rsidP="009069F1">
      <w:pPr>
        <w:pStyle w:val="ListParagraph"/>
        <w:numPr>
          <w:ilvl w:val="0"/>
          <w:numId w:val="4"/>
        </w:numPr>
        <w:ind w:left="426" w:hanging="426"/>
        <w:jc w:val="both"/>
        <w:rPr>
          <w:rFonts w:ascii="Arial" w:hAnsi="Arial" w:cs="Arial"/>
          <w:sz w:val="22"/>
          <w:szCs w:val="22"/>
        </w:rPr>
      </w:pPr>
      <w:r>
        <w:rPr>
          <w:rFonts w:ascii="Arial" w:hAnsi="Arial" w:cs="Arial"/>
          <w:sz w:val="22"/>
          <w:szCs w:val="22"/>
        </w:rPr>
        <w:t>It should be noted</w:t>
      </w:r>
      <w:r w:rsidR="009B7AF1" w:rsidRPr="009069F1">
        <w:rPr>
          <w:rFonts w:ascii="Arial" w:hAnsi="Arial" w:cs="Arial"/>
          <w:sz w:val="22"/>
          <w:szCs w:val="22"/>
        </w:rPr>
        <w:t xml:space="preserve"> that there has been a national review of CIL and extensive reform has been recommended.  The suggested changes would result in a simpler low level Local Infrastructure Tariff (LIT) that covers all development but with a continuation</w:t>
      </w:r>
      <w:r w:rsidR="00E716ED" w:rsidRPr="009069F1">
        <w:rPr>
          <w:rFonts w:ascii="Arial" w:hAnsi="Arial" w:cs="Arial"/>
          <w:sz w:val="22"/>
          <w:szCs w:val="22"/>
        </w:rPr>
        <w:t xml:space="preserve"> of S106</w:t>
      </w:r>
      <w:r w:rsidR="009B7AF1" w:rsidRPr="009069F1">
        <w:rPr>
          <w:rFonts w:ascii="Arial" w:hAnsi="Arial" w:cs="Arial"/>
          <w:sz w:val="22"/>
          <w:szCs w:val="22"/>
        </w:rPr>
        <w:t xml:space="preserve">‘s for the larger strategic sites.   </w:t>
      </w:r>
    </w:p>
    <w:p w:rsidR="00A6524D" w:rsidRPr="004B0444" w:rsidRDefault="00A6524D" w:rsidP="0086455B">
      <w:pPr>
        <w:jc w:val="both"/>
        <w:rPr>
          <w:rFonts w:ascii="Arial" w:hAnsi="Arial" w:cs="Arial"/>
          <w:sz w:val="22"/>
          <w:szCs w:val="22"/>
        </w:rPr>
      </w:pPr>
    </w:p>
    <w:p w:rsidR="00A6524D" w:rsidRPr="00E716ED" w:rsidRDefault="00FA0219" w:rsidP="0086455B">
      <w:pPr>
        <w:jc w:val="both"/>
        <w:rPr>
          <w:rFonts w:ascii="Arial" w:hAnsi="Arial" w:cs="Arial"/>
          <w:b/>
          <w:szCs w:val="22"/>
        </w:rPr>
      </w:pPr>
      <w:r w:rsidRPr="00E716ED">
        <w:rPr>
          <w:rFonts w:ascii="Arial" w:hAnsi="Arial" w:cs="Arial"/>
          <w:b/>
          <w:szCs w:val="22"/>
        </w:rPr>
        <w:t>C</w:t>
      </w:r>
      <w:r w:rsidR="00E40275" w:rsidRPr="00E716ED">
        <w:rPr>
          <w:rFonts w:ascii="Arial" w:hAnsi="Arial" w:cs="Arial"/>
          <w:b/>
          <w:szCs w:val="22"/>
        </w:rPr>
        <w:t>IL Receipt for 2018/2019</w:t>
      </w:r>
    </w:p>
    <w:p w:rsidR="00E40275" w:rsidRPr="004B0444" w:rsidRDefault="00E40275" w:rsidP="0086455B">
      <w:pPr>
        <w:jc w:val="both"/>
        <w:rPr>
          <w:rFonts w:ascii="Arial" w:hAnsi="Arial" w:cs="Arial"/>
          <w:sz w:val="22"/>
          <w:szCs w:val="22"/>
        </w:rPr>
      </w:pPr>
    </w:p>
    <w:p w:rsidR="00872733" w:rsidRPr="009069F1" w:rsidRDefault="002C1CEC" w:rsidP="009069F1">
      <w:pPr>
        <w:pStyle w:val="ListParagraph"/>
        <w:numPr>
          <w:ilvl w:val="0"/>
          <w:numId w:val="4"/>
        </w:numPr>
        <w:ind w:left="426" w:hanging="426"/>
        <w:jc w:val="both"/>
        <w:rPr>
          <w:rFonts w:ascii="Arial" w:hAnsi="Arial" w:cs="Arial"/>
          <w:sz w:val="22"/>
          <w:szCs w:val="22"/>
        </w:rPr>
      </w:pPr>
      <w:r>
        <w:rPr>
          <w:rFonts w:ascii="Arial" w:hAnsi="Arial" w:cs="Arial"/>
          <w:sz w:val="22"/>
          <w:szCs w:val="22"/>
        </w:rPr>
        <w:t>N</w:t>
      </w:r>
      <w:r w:rsidR="00643010" w:rsidRPr="009069F1">
        <w:rPr>
          <w:rFonts w:ascii="Arial" w:hAnsi="Arial" w:cs="Arial"/>
          <w:sz w:val="22"/>
          <w:szCs w:val="22"/>
        </w:rPr>
        <w:t>ot al</w:t>
      </w:r>
      <w:r w:rsidR="006E0E59" w:rsidRPr="009069F1">
        <w:rPr>
          <w:rFonts w:ascii="Arial" w:hAnsi="Arial" w:cs="Arial"/>
          <w:sz w:val="22"/>
          <w:szCs w:val="22"/>
        </w:rPr>
        <w:t>l new dwelli</w:t>
      </w:r>
      <w:r w:rsidR="005D690F" w:rsidRPr="009069F1">
        <w:rPr>
          <w:rFonts w:ascii="Arial" w:hAnsi="Arial" w:cs="Arial"/>
          <w:sz w:val="22"/>
          <w:szCs w:val="22"/>
        </w:rPr>
        <w:t>ngs will be required to pay CIL and the reality is that it is likely that less than half of new dwellings</w:t>
      </w:r>
      <w:r w:rsidR="00E32512" w:rsidRPr="009069F1">
        <w:rPr>
          <w:rFonts w:ascii="Arial" w:hAnsi="Arial" w:cs="Arial"/>
          <w:sz w:val="22"/>
          <w:szCs w:val="22"/>
        </w:rPr>
        <w:t xml:space="preserve"> will</w:t>
      </w:r>
      <w:r w:rsidR="005D690F" w:rsidRPr="009069F1">
        <w:rPr>
          <w:rFonts w:ascii="Arial" w:hAnsi="Arial" w:cs="Arial"/>
          <w:sz w:val="22"/>
          <w:szCs w:val="22"/>
        </w:rPr>
        <w:t xml:space="preserve"> make a contribution</w:t>
      </w:r>
      <w:r w:rsidR="00AD63EB" w:rsidRPr="009069F1">
        <w:rPr>
          <w:rFonts w:ascii="Arial" w:hAnsi="Arial" w:cs="Arial"/>
          <w:sz w:val="22"/>
          <w:szCs w:val="22"/>
        </w:rPr>
        <w:t>.  The reasons for this are:</w:t>
      </w:r>
    </w:p>
    <w:p w:rsidR="006E0E59" w:rsidRPr="004B0444" w:rsidRDefault="006E0E59" w:rsidP="0086455B">
      <w:pPr>
        <w:jc w:val="both"/>
        <w:rPr>
          <w:rFonts w:ascii="Arial" w:hAnsi="Arial" w:cs="Arial"/>
          <w:sz w:val="22"/>
          <w:szCs w:val="22"/>
        </w:rPr>
      </w:pPr>
    </w:p>
    <w:p w:rsidR="006E0E59" w:rsidRPr="004B0444" w:rsidRDefault="00D67183" w:rsidP="00D67183">
      <w:pPr>
        <w:pStyle w:val="ListParagraph"/>
        <w:numPr>
          <w:ilvl w:val="0"/>
          <w:numId w:val="1"/>
        </w:numPr>
        <w:jc w:val="both"/>
        <w:rPr>
          <w:rFonts w:ascii="Arial" w:hAnsi="Arial" w:cs="Arial"/>
          <w:sz w:val="22"/>
          <w:szCs w:val="22"/>
        </w:rPr>
      </w:pPr>
      <w:r w:rsidRPr="004B0444">
        <w:rPr>
          <w:rFonts w:ascii="Arial" w:hAnsi="Arial" w:cs="Arial"/>
          <w:sz w:val="22"/>
          <w:szCs w:val="22"/>
        </w:rPr>
        <w:t>Most dwellings that will be constructed over the next 2 financial years will be</w:t>
      </w:r>
      <w:r w:rsidR="00365B91">
        <w:rPr>
          <w:rFonts w:ascii="Arial" w:hAnsi="Arial" w:cs="Arial"/>
          <w:sz w:val="22"/>
          <w:szCs w:val="22"/>
        </w:rPr>
        <w:t xml:space="preserve"> a result of</w:t>
      </w:r>
      <w:r w:rsidRPr="004B0444">
        <w:rPr>
          <w:rFonts w:ascii="Arial" w:hAnsi="Arial" w:cs="Arial"/>
          <w:sz w:val="22"/>
          <w:szCs w:val="22"/>
        </w:rPr>
        <w:t xml:space="preserve"> planning permissions granted under the previous S106 regime </w:t>
      </w:r>
      <w:r w:rsidR="00AD11CB">
        <w:rPr>
          <w:rFonts w:ascii="Arial" w:hAnsi="Arial" w:cs="Arial"/>
          <w:sz w:val="22"/>
          <w:szCs w:val="22"/>
        </w:rPr>
        <w:t xml:space="preserve">(this includes the </w:t>
      </w:r>
      <w:r w:rsidR="00AD11CB">
        <w:rPr>
          <w:rFonts w:ascii="Arial" w:hAnsi="Arial" w:cs="Arial"/>
          <w:sz w:val="22"/>
          <w:szCs w:val="22"/>
        </w:rPr>
        <w:lastRenderedPageBreak/>
        <w:t xml:space="preserve">existing key sites in Yeovil that are under construction and those sites in our market towns that haven’t yet been implemented)    </w:t>
      </w:r>
    </w:p>
    <w:p w:rsidR="00D67183" w:rsidRPr="004B0444" w:rsidRDefault="00D67183" w:rsidP="00D67183">
      <w:pPr>
        <w:pStyle w:val="ListParagraph"/>
        <w:numPr>
          <w:ilvl w:val="0"/>
          <w:numId w:val="1"/>
        </w:numPr>
        <w:jc w:val="both"/>
        <w:rPr>
          <w:rFonts w:ascii="Arial" w:hAnsi="Arial" w:cs="Arial"/>
          <w:sz w:val="22"/>
          <w:szCs w:val="22"/>
        </w:rPr>
      </w:pPr>
      <w:r w:rsidRPr="004B0444">
        <w:rPr>
          <w:rFonts w:ascii="Arial" w:hAnsi="Arial" w:cs="Arial"/>
          <w:sz w:val="22"/>
          <w:szCs w:val="22"/>
        </w:rPr>
        <w:t xml:space="preserve">Single </w:t>
      </w:r>
      <w:r w:rsidR="00AD11CB">
        <w:rPr>
          <w:rFonts w:ascii="Arial" w:hAnsi="Arial" w:cs="Arial"/>
          <w:sz w:val="22"/>
          <w:szCs w:val="22"/>
        </w:rPr>
        <w:t>dwellings are treated as ‘self-</w:t>
      </w:r>
      <w:r w:rsidRPr="004B0444">
        <w:rPr>
          <w:rFonts w:ascii="Arial" w:hAnsi="Arial" w:cs="Arial"/>
          <w:sz w:val="22"/>
          <w:szCs w:val="22"/>
        </w:rPr>
        <w:t>build’ and are exempt under the Regulations (estimated at 20% of supply)</w:t>
      </w:r>
    </w:p>
    <w:p w:rsidR="00D67183" w:rsidRPr="004B0444" w:rsidRDefault="00D67183" w:rsidP="00D67183">
      <w:pPr>
        <w:pStyle w:val="ListParagraph"/>
        <w:numPr>
          <w:ilvl w:val="0"/>
          <w:numId w:val="1"/>
        </w:numPr>
        <w:jc w:val="both"/>
        <w:rPr>
          <w:rFonts w:ascii="Arial" w:hAnsi="Arial" w:cs="Arial"/>
          <w:sz w:val="22"/>
          <w:szCs w:val="22"/>
        </w:rPr>
      </w:pPr>
      <w:r w:rsidRPr="004B0444">
        <w:rPr>
          <w:rFonts w:ascii="Arial" w:hAnsi="Arial" w:cs="Arial"/>
          <w:sz w:val="22"/>
          <w:szCs w:val="22"/>
        </w:rPr>
        <w:t>Affordable housing is exempt (likely to be in region of 35%)</w:t>
      </w:r>
    </w:p>
    <w:p w:rsidR="00D67183" w:rsidRPr="004B0444" w:rsidRDefault="00D67183" w:rsidP="00D67183">
      <w:pPr>
        <w:pStyle w:val="ListParagraph"/>
        <w:numPr>
          <w:ilvl w:val="0"/>
          <w:numId w:val="1"/>
        </w:numPr>
        <w:jc w:val="both"/>
        <w:rPr>
          <w:rFonts w:ascii="Arial" w:hAnsi="Arial" w:cs="Arial"/>
          <w:sz w:val="22"/>
          <w:szCs w:val="22"/>
        </w:rPr>
      </w:pPr>
      <w:r w:rsidRPr="004B0444">
        <w:rPr>
          <w:rFonts w:ascii="Arial" w:hAnsi="Arial" w:cs="Arial"/>
          <w:sz w:val="22"/>
          <w:szCs w:val="22"/>
        </w:rPr>
        <w:t>The regulations give ‘credit’ for existing buildings/uses that are to be lost to redevelopment</w:t>
      </w:r>
    </w:p>
    <w:p w:rsidR="0080783E" w:rsidRPr="004B0444" w:rsidRDefault="0080783E" w:rsidP="0086455B">
      <w:pPr>
        <w:jc w:val="both"/>
        <w:rPr>
          <w:rFonts w:ascii="Arial" w:hAnsi="Arial" w:cs="Arial"/>
          <w:sz w:val="22"/>
          <w:szCs w:val="22"/>
        </w:rPr>
      </w:pPr>
    </w:p>
    <w:p w:rsidR="0080783E" w:rsidRPr="009069F1" w:rsidRDefault="0080783E" w:rsidP="009069F1">
      <w:pPr>
        <w:pStyle w:val="ListParagraph"/>
        <w:numPr>
          <w:ilvl w:val="0"/>
          <w:numId w:val="4"/>
        </w:numPr>
        <w:ind w:left="426" w:hanging="426"/>
        <w:jc w:val="both"/>
        <w:rPr>
          <w:rFonts w:ascii="Arial" w:hAnsi="Arial" w:cs="Arial"/>
          <w:sz w:val="22"/>
          <w:szCs w:val="22"/>
        </w:rPr>
      </w:pPr>
      <w:r w:rsidRPr="009069F1">
        <w:rPr>
          <w:rFonts w:ascii="Arial" w:hAnsi="Arial" w:cs="Arial"/>
          <w:sz w:val="22"/>
          <w:szCs w:val="22"/>
        </w:rPr>
        <w:t xml:space="preserve">It is </w:t>
      </w:r>
      <w:r w:rsidR="00D67183" w:rsidRPr="009069F1">
        <w:rPr>
          <w:rFonts w:ascii="Arial" w:hAnsi="Arial" w:cs="Arial"/>
          <w:sz w:val="22"/>
          <w:szCs w:val="22"/>
        </w:rPr>
        <w:t>likely that</w:t>
      </w:r>
      <w:r w:rsidRPr="009069F1">
        <w:rPr>
          <w:rFonts w:ascii="Arial" w:hAnsi="Arial" w:cs="Arial"/>
          <w:sz w:val="22"/>
          <w:szCs w:val="22"/>
        </w:rPr>
        <w:t xml:space="preserve"> the income will increase as the historic permission</w:t>
      </w:r>
      <w:r w:rsidR="00D67183" w:rsidRPr="009069F1">
        <w:rPr>
          <w:rFonts w:ascii="Arial" w:hAnsi="Arial" w:cs="Arial"/>
          <w:sz w:val="22"/>
          <w:szCs w:val="22"/>
        </w:rPr>
        <w:t>s</w:t>
      </w:r>
      <w:r w:rsidRPr="009069F1">
        <w:rPr>
          <w:rFonts w:ascii="Arial" w:hAnsi="Arial" w:cs="Arial"/>
          <w:sz w:val="22"/>
          <w:szCs w:val="22"/>
        </w:rPr>
        <w:t xml:space="preserve"> </w:t>
      </w:r>
      <w:r w:rsidR="00D67183" w:rsidRPr="009069F1">
        <w:rPr>
          <w:rFonts w:ascii="Arial" w:hAnsi="Arial" w:cs="Arial"/>
          <w:sz w:val="22"/>
          <w:szCs w:val="22"/>
        </w:rPr>
        <w:t>are completed</w:t>
      </w:r>
      <w:r w:rsidR="009F2BC9" w:rsidRPr="009069F1">
        <w:rPr>
          <w:rFonts w:ascii="Arial" w:hAnsi="Arial" w:cs="Arial"/>
          <w:sz w:val="22"/>
          <w:szCs w:val="22"/>
        </w:rPr>
        <w:t>.  H</w:t>
      </w:r>
      <w:r w:rsidR="001537A2" w:rsidRPr="009069F1">
        <w:rPr>
          <w:rFonts w:ascii="Arial" w:hAnsi="Arial" w:cs="Arial"/>
          <w:sz w:val="22"/>
          <w:szCs w:val="22"/>
        </w:rPr>
        <w:t>o</w:t>
      </w:r>
      <w:r w:rsidRPr="009069F1">
        <w:rPr>
          <w:rFonts w:ascii="Arial" w:hAnsi="Arial" w:cs="Arial"/>
          <w:sz w:val="22"/>
          <w:szCs w:val="22"/>
        </w:rPr>
        <w:t>wever, it also needs to be borne in mind that the major sites in Yeovil and Chard are not liable for CIL</w:t>
      </w:r>
      <w:r w:rsidR="00E32512" w:rsidRPr="009069F1">
        <w:rPr>
          <w:rFonts w:ascii="Arial" w:hAnsi="Arial" w:cs="Arial"/>
          <w:sz w:val="22"/>
          <w:szCs w:val="22"/>
        </w:rPr>
        <w:t xml:space="preserve"> on the basis that they will be providing the required mitigation and facilities on site and these will be secured through the Section 106 process.</w:t>
      </w:r>
    </w:p>
    <w:p w:rsidR="00FD79BC" w:rsidRDefault="00FD79BC" w:rsidP="009069F1">
      <w:pPr>
        <w:ind w:left="426" w:hanging="426"/>
        <w:jc w:val="both"/>
        <w:rPr>
          <w:rFonts w:ascii="Arial" w:hAnsi="Arial" w:cs="Arial"/>
          <w:sz w:val="22"/>
          <w:szCs w:val="22"/>
        </w:rPr>
      </w:pPr>
    </w:p>
    <w:p w:rsidR="00A00627" w:rsidRDefault="00FD79BC" w:rsidP="0086455B">
      <w:pPr>
        <w:pStyle w:val="ListParagraph"/>
        <w:numPr>
          <w:ilvl w:val="0"/>
          <w:numId w:val="4"/>
        </w:numPr>
        <w:ind w:left="426" w:hanging="426"/>
        <w:jc w:val="both"/>
        <w:rPr>
          <w:rFonts w:ascii="Arial" w:hAnsi="Arial" w:cs="Arial"/>
          <w:sz w:val="22"/>
          <w:szCs w:val="22"/>
        </w:rPr>
      </w:pPr>
      <w:r w:rsidRPr="00823EA7">
        <w:rPr>
          <w:rFonts w:ascii="Arial" w:hAnsi="Arial" w:cs="Arial"/>
          <w:sz w:val="22"/>
          <w:szCs w:val="22"/>
        </w:rPr>
        <w:t xml:space="preserve">At the time of writing this </w:t>
      </w:r>
      <w:r w:rsidR="00823EA7">
        <w:rPr>
          <w:rFonts w:ascii="Arial" w:hAnsi="Arial" w:cs="Arial"/>
          <w:sz w:val="22"/>
          <w:szCs w:val="22"/>
        </w:rPr>
        <w:t>update</w:t>
      </w:r>
      <w:r w:rsidRPr="00823EA7">
        <w:rPr>
          <w:rFonts w:ascii="Arial" w:hAnsi="Arial" w:cs="Arial"/>
          <w:sz w:val="22"/>
          <w:szCs w:val="22"/>
        </w:rPr>
        <w:t xml:space="preserve">, </w:t>
      </w:r>
      <w:r w:rsidR="00251443" w:rsidRPr="009069F1">
        <w:rPr>
          <w:rFonts w:ascii="Arial" w:hAnsi="Arial" w:cs="Arial"/>
          <w:sz w:val="22"/>
          <w:szCs w:val="22"/>
        </w:rPr>
        <w:t>the C</w:t>
      </w:r>
      <w:r w:rsidRPr="009069F1">
        <w:rPr>
          <w:rFonts w:ascii="Arial" w:hAnsi="Arial" w:cs="Arial"/>
          <w:sz w:val="22"/>
          <w:szCs w:val="22"/>
        </w:rPr>
        <w:t xml:space="preserve">ouncil has </w:t>
      </w:r>
      <w:r w:rsidR="00823EA7">
        <w:rPr>
          <w:rFonts w:ascii="Arial" w:hAnsi="Arial" w:cs="Arial"/>
          <w:sz w:val="22"/>
          <w:szCs w:val="22"/>
        </w:rPr>
        <w:t xml:space="preserve">received </w:t>
      </w:r>
      <w:r w:rsidR="00823EA7" w:rsidRPr="00C72551">
        <w:rPr>
          <w:rFonts w:ascii="Arial" w:hAnsi="Arial" w:cs="Arial"/>
          <w:sz w:val="22"/>
          <w:szCs w:val="22"/>
          <w:u w:val="single"/>
        </w:rPr>
        <w:t>£23,536</w:t>
      </w:r>
      <w:r w:rsidR="00C72551" w:rsidRPr="00C72551">
        <w:rPr>
          <w:rFonts w:ascii="Arial" w:hAnsi="Arial" w:cs="Arial"/>
          <w:sz w:val="22"/>
          <w:szCs w:val="22"/>
          <w:u w:val="single"/>
        </w:rPr>
        <w:t>.48</w:t>
      </w:r>
      <w:r w:rsidR="00823EA7">
        <w:rPr>
          <w:rFonts w:ascii="Arial" w:hAnsi="Arial" w:cs="Arial"/>
          <w:sz w:val="22"/>
          <w:szCs w:val="22"/>
        </w:rPr>
        <w:t xml:space="preserve"> in</w:t>
      </w:r>
      <w:r w:rsidRPr="009069F1">
        <w:rPr>
          <w:rFonts w:ascii="Arial" w:hAnsi="Arial" w:cs="Arial"/>
          <w:sz w:val="22"/>
          <w:szCs w:val="22"/>
        </w:rPr>
        <w:t xml:space="preserve"> CIL monies.  This is to be expected because nearly all of the new development constructed across the district was approved prior to the council charging CIL.</w:t>
      </w:r>
      <w:r w:rsidR="00365B91" w:rsidRPr="009069F1">
        <w:rPr>
          <w:rFonts w:ascii="Arial" w:hAnsi="Arial" w:cs="Arial"/>
          <w:sz w:val="22"/>
          <w:szCs w:val="22"/>
        </w:rPr>
        <w:t xml:space="preserve"> </w:t>
      </w:r>
    </w:p>
    <w:p w:rsidR="00E44F42" w:rsidRPr="00E44F42" w:rsidRDefault="00E44F42" w:rsidP="00E44F42">
      <w:pPr>
        <w:jc w:val="both"/>
        <w:rPr>
          <w:rFonts w:ascii="Arial" w:hAnsi="Arial" w:cs="Arial"/>
          <w:sz w:val="22"/>
          <w:szCs w:val="22"/>
        </w:rPr>
      </w:pPr>
    </w:p>
    <w:p w:rsidR="00104648" w:rsidRDefault="00104648" w:rsidP="0086455B">
      <w:pPr>
        <w:jc w:val="both"/>
        <w:rPr>
          <w:rFonts w:ascii="Arial" w:hAnsi="Arial" w:cs="Arial"/>
          <w:sz w:val="22"/>
          <w:szCs w:val="22"/>
        </w:rPr>
      </w:pPr>
    </w:p>
    <w:p w:rsidR="003218CC" w:rsidRDefault="00104648" w:rsidP="003218CC">
      <w:pPr>
        <w:pStyle w:val="ListParagraph"/>
        <w:numPr>
          <w:ilvl w:val="0"/>
          <w:numId w:val="4"/>
        </w:numPr>
        <w:ind w:left="426" w:hanging="426"/>
        <w:jc w:val="both"/>
        <w:rPr>
          <w:rFonts w:ascii="Arial" w:hAnsi="Arial" w:cs="Arial"/>
          <w:sz w:val="22"/>
          <w:szCs w:val="22"/>
        </w:rPr>
      </w:pPr>
      <w:r w:rsidRPr="009069F1">
        <w:rPr>
          <w:rFonts w:ascii="Arial" w:hAnsi="Arial" w:cs="Arial"/>
          <w:sz w:val="22"/>
          <w:szCs w:val="22"/>
        </w:rPr>
        <w:t xml:space="preserve">Members will note that the receipts likely to result through CIL are far smaller than the New Homes Bonus already received by the council as a result of delivering new housing development. </w:t>
      </w:r>
      <w:r w:rsidR="00365B91" w:rsidRPr="009069F1">
        <w:rPr>
          <w:rFonts w:ascii="Arial" w:hAnsi="Arial" w:cs="Arial"/>
          <w:sz w:val="22"/>
          <w:szCs w:val="22"/>
        </w:rPr>
        <w:t xml:space="preserve"> Many local authorities have opted to invest their New homes Bonus in infrastructure related projects on the basis that it will facilitate additional development which will then generate its own social and economic benefits. </w:t>
      </w:r>
    </w:p>
    <w:p w:rsidR="003218CC" w:rsidRPr="003218CC" w:rsidRDefault="003218CC" w:rsidP="003218CC">
      <w:pPr>
        <w:jc w:val="both"/>
        <w:rPr>
          <w:rFonts w:ascii="Arial" w:hAnsi="Arial" w:cs="Arial"/>
          <w:sz w:val="22"/>
          <w:szCs w:val="22"/>
        </w:rPr>
      </w:pPr>
    </w:p>
    <w:p w:rsidR="002400ED" w:rsidRPr="003218CC" w:rsidRDefault="003218CC" w:rsidP="002400ED">
      <w:pPr>
        <w:pStyle w:val="ListParagraph"/>
        <w:numPr>
          <w:ilvl w:val="0"/>
          <w:numId w:val="4"/>
        </w:numPr>
        <w:spacing w:before="100" w:beforeAutospacing="1" w:after="240"/>
        <w:jc w:val="both"/>
        <w:rPr>
          <w:rFonts w:ascii="Arial" w:hAnsi="Arial" w:cs="Arial"/>
          <w:sz w:val="22"/>
          <w:szCs w:val="22"/>
          <w:lang w:val="en"/>
        </w:rPr>
      </w:pPr>
      <w:r w:rsidRPr="00021A40">
        <w:rPr>
          <w:rFonts w:ascii="Arial" w:hAnsi="Arial" w:cs="Arial"/>
          <w:sz w:val="22"/>
          <w:szCs w:val="22"/>
          <w:lang w:val="en"/>
        </w:rPr>
        <w:t>The regulations allow the council to retain up to 5% of CIL receipts for the administration of the system thereby reducing the burden on the council tax payer</w:t>
      </w:r>
      <w:r>
        <w:rPr>
          <w:rFonts w:ascii="Arial" w:hAnsi="Arial" w:cs="Arial"/>
          <w:sz w:val="22"/>
          <w:szCs w:val="22"/>
          <w:lang w:val="en"/>
        </w:rPr>
        <w:t>.</w:t>
      </w:r>
    </w:p>
    <w:p w:rsidR="002400ED" w:rsidRPr="00E716ED" w:rsidRDefault="002400ED" w:rsidP="002400ED">
      <w:pPr>
        <w:jc w:val="both"/>
        <w:rPr>
          <w:rFonts w:ascii="Arial" w:hAnsi="Arial" w:cs="Arial"/>
          <w:szCs w:val="22"/>
        </w:rPr>
      </w:pPr>
      <w:r w:rsidRPr="00E716ED">
        <w:rPr>
          <w:rFonts w:ascii="Arial" w:hAnsi="Arial" w:cs="Arial"/>
          <w:b/>
          <w:szCs w:val="22"/>
        </w:rPr>
        <w:t>Parish and Town Councils</w:t>
      </w:r>
      <w:r w:rsidRPr="00E716ED">
        <w:rPr>
          <w:rFonts w:ascii="Arial" w:hAnsi="Arial" w:cs="Arial"/>
          <w:szCs w:val="22"/>
        </w:rPr>
        <w:t xml:space="preserve"> </w:t>
      </w:r>
    </w:p>
    <w:p w:rsidR="002400ED" w:rsidRPr="004B0444" w:rsidRDefault="002400ED" w:rsidP="002400ED">
      <w:pPr>
        <w:jc w:val="both"/>
        <w:rPr>
          <w:rFonts w:ascii="Arial" w:hAnsi="Arial" w:cs="Arial"/>
          <w:sz w:val="22"/>
          <w:szCs w:val="22"/>
        </w:rPr>
      </w:pPr>
    </w:p>
    <w:p w:rsidR="002400ED" w:rsidRPr="00021A40" w:rsidRDefault="002400ED" w:rsidP="002400ED">
      <w:pPr>
        <w:pStyle w:val="ListParagraph"/>
        <w:numPr>
          <w:ilvl w:val="0"/>
          <w:numId w:val="4"/>
        </w:numPr>
        <w:jc w:val="both"/>
        <w:rPr>
          <w:rFonts w:ascii="Arial" w:hAnsi="Arial" w:cs="Arial"/>
          <w:sz w:val="22"/>
          <w:szCs w:val="22"/>
        </w:rPr>
      </w:pPr>
      <w:r w:rsidRPr="00021A40">
        <w:rPr>
          <w:rFonts w:ascii="Arial" w:hAnsi="Arial" w:cs="Arial"/>
          <w:sz w:val="22"/>
          <w:szCs w:val="22"/>
        </w:rPr>
        <w:t>Parish councils will receive 15% (referred to as a ‘meaningful proportion’</w:t>
      </w:r>
      <w:r w:rsidR="00C50F18">
        <w:rPr>
          <w:rFonts w:ascii="Arial" w:hAnsi="Arial" w:cs="Arial"/>
          <w:sz w:val="22"/>
          <w:szCs w:val="22"/>
        </w:rPr>
        <w:t>)</w:t>
      </w:r>
      <w:r w:rsidRPr="00021A40">
        <w:rPr>
          <w:rFonts w:ascii="Arial" w:hAnsi="Arial" w:cs="Arial"/>
          <w:sz w:val="22"/>
          <w:szCs w:val="22"/>
        </w:rPr>
        <w:t xml:space="preserve"> of all CIL received within their administrative boundary.  This rises to 25% if the town or parish has a ‘made’ Neighbourhood Plan.  A simple illustration below:</w:t>
      </w:r>
    </w:p>
    <w:p w:rsidR="002400ED" w:rsidRPr="004B0444" w:rsidRDefault="002400ED" w:rsidP="002400ED">
      <w:pPr>
        <w:jc w:val="both"/>
        <w:rPr>
          <w:rFonts w:ascii="Arial" w:hAnsi="Arial" w:cs="Arial"/>
          <w:sz w:val="22"/>
          <w:szCs w:val="22"/>
        </w:rPr>
      </w:pPr>
    </w:p>
    <w:p w:rsidR="002400ED" w:rsidRPr="004B0444" w:rsidRDefault="002400ED" w:rsidP="002400ED">
      <w:pPr>
        <w:ind w:firstLine="426"/>
        <w:jc w:val="both"/>
        <w:rPr>
          <w:rFonts w:ascii="Arial" w:hAnsi="Arial" w:cs="Arial"/>
          <w:sz w:val="22"/>
          <w:szCs w:val="22"/>
        </w:rPr>
      </w:pPr>
      <w:r w:rsidRPr="004B0444">
        <w:rPr>
          <w:rFonts w:ascii="Arial" w:hAnsi="Arial" w:cs="Arial"/>
          <w:sz w:val="22"/>
          <w:szCs w:val="22"/>
        </w:rPr>
        <w:t>10 x 8</w:t>
      </w:r>
      <w:r w:rsidR="00AF7522">
        <w:rPr>
          <w:rFonts w:ascii="Arial" w:hAnsi="Arial" w:cs="Arial"/>
          <w:sz w:val="22"/>
          <w:szCs w:val="22"/>
        </w:rPr>
        <w:t xml:space="preserve">0 </w:t>
      </w:r>
      <w:proofErr w:type="spellStart"/>
      <w:r w:rsidR="00AF7522">
        <w:rPr>
          <w:rFonts w:ascii="Arial" w:hAnsi="Arial" w:cs="Arial"/>
          <w:sz w:val="22"/>
          <w:szCs w:val="22"/>
        </w:rPr>
        <w:t>sq</w:t>
      </w:r>
      <w:r w:rsidRPr="004B0444">
        <w:rPr>
          <w:rFonts w:ascii="Arial" w:hAnsi="Arial" w:cs="Arial"/>
          <w:sz w:val="22"/>
          <w:szCs w:val="22"/>
        </w:rPr>
        <w:t>m</w:t>
      </w:r>
      <w:proofErr w:type="spellEnd"/>
      <w:r>
        <w:rPr>
          <w:rFonts w:ascii="Arial" w:hAnsi="Arial" w:cs="Arial"/>
          <w:sz w:val="22"/>
          <w:szCs w:val="22"/>
        </w:rPr>
        <w:t xml:space="preserve"> 3 bed house</w:t>
      </w:r>
      <w:r w:rsidR="000A4A4C">
        <w:rPr>
          <w:rFonts w:ascii="Arial" w:hAnsi="Arial" w:cs="Arial"/>
          <w:sz w:val="22"/>
          <w:szCs w:val="22"/>
        </w:rPr>
        <w:t xml:space="preserve"> scheme</w:t>
      </w:r>
      <w:bookmarkStart w:id="0" w:name="_GoBack"/>
      <w:bookmarkEnd w:id="0"/>
      <w:r w:rsidRPr="004B0444">
        <w:rPr>
          <w:rFonts w:ascii="Arial" w:hAnsi="Arial" w:cs="Arial"/>
          <w:sz w:val="22"/>
          <w:szCs w:val="22"/>
        </w:rPr>
        <w:t xml:space="preserve"> @£40per sq</w:t>
      </w:r>
      <w:r>
        <w:rPr>
          <w:rFonts w:ascii="Arial" w:hAnsi="Arial" w:cs="Arial"/>
          <w:sz w:val="22"/>
          <w:szCs w:val="22"/>
        </w:rPr>
        <w:t>.</w:t>
      </w:r>
      <w:r w:rsidRPr="004B0444">
        <w:rPr>
          <w:rFonts w:ascii="Arial" w:hAnsi="Arial" w:cs="Arial"/>
          <w:sz w:val="22"/>
          <w:szCs w:val="22"/>
        </w:rPr>
        <w:t xml:space="preserve"> m = £32,000. </w:t>
      </w:r>
    </w:p>
    <w:p w:rsidR="002400ED" w:rsidRDefault="002400ED" w:rsidP="002400ED">
      <w:pPr>
        <w:ind w:firstLine="426"/>
        <w:jc w:val="both"/>
        <w:rPr>
          <w:rFonts w:ascii="Arial" w:hAnsi="Arial" w:cs="Arial"/>
          <w:b/>
          <w:sz w:val="22"/>
          <w:szCs w:val="22"/>
        </w:rPr>
      </w:pPr>
      <w:r w:rsidRPr="004B0444">
        <w:rPr>
          <w:rFonts w:ascii="Arial" w:hAnsi="Arial" w:cs="Arial"/>
          <w:sz w:val="22"/>
          <w:szCs w:val="22"/>
        </w:rPr>
        <w:t>Pari</w:t>
      </w:r>
      <w:r>
        <w:rPr>
          <w:rFonts w:ascii="Arial" w:hAnsi="Arial" w:cs="Arial"/>
          <w:sz w:val="22"/>
          <w:szCs w:val="22"/>
        </w:rPr>
        <w:t xml:space="preserve">sh/Town receive 15% = </w:t>
      </w:r>
      <w:r>
        <w:rPr>
          <w:rFonts w:ascii="Arial" w:hAnsi="Arial" w:cs="Arial"/>
          <w:b/>
          <w:sz w:val="22"/>
          <w:szCs w:val="22"/>
        </w:rPr>
        <w:t>£</w:t>
      </w:r>
      <w:r w:rsidRPr="004B0444">
        <w:rPr>
          <w:rFonts w:ascii="Arial" w:hAnsi="Arial" w:cs="Arial"/>
          <w:b/>
          <w:sz w:val="22"/>
          <w:szCs w:val="22"/>
        </w:rPr>
        <w:t>4,800</w:t>
      </w:r>
    </w:p>
    <w:p w:rsidR="00023FE2" w:rsidRDefault="00023FE2" w:rsidP="002400ED">
      <w:pPr>
        <w:ind w:firstLine="426"/>
        <w:jc w:val="both"/>
        <w:rPr>
          <w:rFonts w:ascii="Arial" w:hAnsi="Arial" w:cs="Arial"/>
          <w:b/>
          <w:sz w:val="22"/>
          <w:szCs w:val="22"/>
        </w:rPr>
      </w:pPr>
    </w:p>
    <w:p w:rsidR="002400ED" w:rsidRPr="00023FE2" w:rsidRDefault="00023FE2" w:rsidP="00023FE2">
      <w:pPr>
        <w:pStyle w:val="ListParagraph"/>
        <w:numPr>
          <w:ilvl w:val="0"/>
          <w:numId w:val="4"/>
        </w:numPr>
        <w:jc w:val="both"/>
        <w:rPr>
          <w:rFonts w:ascii="Arial" w:hAnsi="Arial" w:cs="Arial"/>
          <w:sz w:val="22"/>
          <w:szCs w:val="22"/>
        </w:rPr>
      </w:pPr>
      <w:r>
        <w:rPr>
          <w:rFonts w:ascii="Arial" w:hAnsi="Arial" w:cs="Arial"/>
          <w:sz w:val="22"/>
          <w:szCs w:val="22"/>
        </w:rPr>
        <w:t>Ta</w:t>
      </w:r>
      <w:r w:rsidR="009C6E03">
        <w:rPr>
          <w:rFonts w:ascii="Arial" w:hAnsi="Arial" w:cs="Arial"/>
          <w:sz w:val="22"/>
          <w:szCs w:val="22"/>
        </w:rPr>
        <w:t>ble showing the breakdown of CIL</w:t>
      </w:r>
      <w:r>
        <w:rPr>
          <w:rFonts w:ascii="Arial" w:hAnsi="Arial" w:cs="Arial"/>
          <w:sz w:val="22"/>
          <w:szCs w:val="22"/>
        </w:rPr>
        <w:t xml:space="preserve"> monies collected to date, split by Town/Parish that </w:t>
      </w:r>
      <w:r w:rsidR="00F35F45">
        <w:rPr>
          <w:rFonts w:ascii="Arial" w:hAnsi="Arial" w:cs="Arial"/>
          <w:sz w:val="22"/>
          <w:szCs w:val="22"/>
        </w:rPr>
        <w:t>facilitated the development and the amount</w:t>
      </w:r>
      <w:r w:rsidR="009C6E03">
        <w:rPr>
          <w:rFonts w:ascii="Arial" w:hAnsi="Arial" w:cs="Arial"/>
          <w:sz w:val="22"/>
          <w:szCs w:val="22"/>
        </w:rPr>
        <w:t xml:space="preserve"> of the CIL</w:t>
      </w:r>
      <w:r w:rsidR="00F35F45">
        <w:rPr>
          <w:rFonts w:ascii="Arial" w:hAnsi="Arial" w:cs="Arial"/>
          <w:sz w:val="22"/>
          <w:szCs w:val="22"/>
        </w:rPr>
        <w:t xml:space="preserve"> receipt to be passed to the Town/Parish Council.</w:t>
      </w:r>
    </w:p>
    <w:p w:rsidR="002400ED" w:rsidRDefault="002400ED" w:rsidP="002400ED">
      <w:pPr>
        <w:ind w:left="425" w:firstLine="1"/>
        <w:jc w:val="both"/>
        <w:rPr>
          <w:rFonts w:ascii="Arial" w:hAnsi="Arial" w:cs="Arial"/>
          <w:sz w:val="22"/>
          <w:szCs w:val="22"/>
        </w:rPr>
      </w:pPr>
    </w:p>
    <w:p w:rsidR="002400ED" w:rsidRPr="00E44F42" w:rsidRDefault="002400ED" w:rsidP="002400ED">
      <w:pPr>
        <w:ind w:left="425" w:firstLine="1"/>
        <w:jc w:val="both"/>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3098"/>
        <w:gridCol w:w="2645"/>
        <w:gridCol w:w="3177"/>
      </w:tblGrid>
      <w:tr w:rsidR="002400ED" w:rsidTr="00DC4700">
        <w:tc>
          <w:tcPr>
            <w:tcW w:w="3098" w:type="dxa"/>
          </w:tcPr>
          <w:p w:rsidR="002400ED" w:rsidRDefault="002400ED" w:rsidP="00DC4700">
            <w:pPr>
              <w:jc w:val="both"/>
              <w:rPr>
                <w:rFonts w:ascii="Arial" w:hAnsi="Arial" w:cs="Arial"/>
                <w:b/>
                <w:sz w:val="22"/>
                <w:szCs w:val="22"/>
              </w:rPr>
            </w:pPr>
            <w:r>
              <w:rPr>
                <w:rFonts w:ascii="Arial" w:hAnsi="Arial" w:cs="Arial"/>
                <w:b/>
                <w:sz w:val="22"/>
                <w:szCs w:val="22"/>
              </w:rPr>
              <w:t>Parish</w:t>
            </w:r>
          </w:p>
        </w:tc>
        <w:tc>
          <w:tcPr>
            <w:tcW w:w="2645" w:type="dxa"/>
          </w:tcPr>
          <w:p w:rsidR="002400ED" w:rsidRDefault="009C6E03" w:rsidP="00DC4700">
            <w:pPr>
              <w:jc w:val="both"/>
              <w:rPr>
                <w:rFonts w:ascii="Arial" w:hAnsi="Arial" w:cs="Arial"/>
                <w:b/>
                <w:sz w:val="22"/>
                <w:szCs w:val="22"/>
              </w:rPr>
            </w:pPr>
            <w:r>
              <w:rPr>
                <w:rFonts w:ascii="Arial" w:hAnsi="Arial" w:cs="Arial"/>
                <w:b/>
                <w:sz w:val="22"/>
                <w:szCs w:val="22"/>
              </w:rPr>
              <w:t>CIL</w:t>
            </w:r>
            <w:r w:rsidR="00F35F45">
              <w:rPr>
                <w:rFonts w:ascii="Arial" w:hAnsi="Arial" w:cs="Arial"/>
                <w:b/>
                <w:sz w:val="22"/>
                <w:szCs w:val="22"/>
              </w:rPr>
              <w:t xml:space="preserve"> </w:t>
            </w:r>
            <w:r w:rsidR="002400ED">
              <w:rPr>
                <w:rFonts w:ascii="Arial" w:hAnsi="Arial" w:cs="Arial"/>
                <w:b/>
                <w:sz w:val="22"/>
                <w:szCs w:val="22"/>
              </w:rPr>
              <w:t>monies received</w:t>
            </w:r>
            <w:r w:rsidR="00F35F45">
              <w:rPr>
                <w:rFonts w:ascii="Arial" w:hAnsi="Arial" w:cs="Arial"/>
                <w:b/>
                <w:sz w:val="22"/>
                <w:szCs w:val="22"/>
              </w:rPr>
              <w:t xml:space="preserve"> from development</w:t>
            </w:r>
          </w:p>
        </w:tc>
        <w:tc>
          <w:tcPr>
            <w:tcW w:w="3177" w:type="dxa"/>
          </w:tcPr>
          <w:p w:rsidR="002400ED" w:rsidRDefault="002400ED" w:rsidP="00DC4700">
            <w:pPr>
              <w:jc w:val="both"/>
              <w:rPr>
                <w:rFonts w:ascii="Arial" w:hAnsi="Arial" w:cs="Arial"/>
                <w:b/>
                <w:sz w:val="22"/>
                <w:szCs w:val="22"/>
              </w:rPr>
            </w:pPr>
            <w:r>
              <w:rPr>
                <w:rFonts w:ascii="Arial" w:hAnsi="Arial" w:cs="Arial"/>
                <w:b/>
                <w:sz w:val="22"/>
                <w:szCs w:val="22"/>
              </w:rPr>
              <w:t xml:space="preserve"> </w:t>
            </w:r>
            <w:r w:rsidR="00F35F45">
              <w:rPr>
                <w:rFonts w:ascii="Arial" w:hAnsi="Arial" w:cs="Arial"/>
                <w:b/>
                <w:sz w:val="22"/>
                <w:szCs w:val="22"/>
              </w:rPr>
              <w:t>Monies to be passed to the Town/Parish Council</w:t>
            </w:r>
          </w:p>
        </w:tc>
      </w:tr>
      <w:tr w:rsidR="002400ED" w:rsidTr="00DC4700">
        <w:tc>
          <w:tcPr>
            <w:tcW w:w="3098" w:type="dxa"/>
          </w:tcPr>
          <w:p w:rsidR="002400ED" w:rsidRPr="00997863" w:rsidRDefault="002400ED" w:rsidP="00DC4700">
            <w:pPr>
              <w:jc w:val="both"/>
              <w:rPr>
                <w:rFonts w:ascii="Arial" w:hAnsi="Arial" w:cs="Arial"/>
                <w:sz w:val="22"/>
                <w:szCs w:val="22"/>
              </w:rPr>
            </w:pPr>
            <w:r>
              <w:rPr>
                <w:rFonts w:ascii="Arial" w:hAnsi="Arial" w:cs="Arial"/>
                <w:sz w:val="22"/>
                <w:szCs w:val="22"/>
              </w:rPr>
              <w:t>South Cadbury &amp; Sutton Montis</w:t>
            </w:r>
          </w:p>
        </w:tc>
        <w:tc>
          <w:tcPr>
            <w:tcW w:w="2645" w:type="dxa"/>
          </w:tcPr>
          <w:p w:rsidR="002400ED" w:rsidRPr="00C72551" w:rsidRDefault="002400ED" w:rsidP="00DC4700">
            <w:pPr>
              <w:jc w:val="both"/>
              <w:rPr>
                <w:rFonts w:ascii="Arial" w:hAnsi="Arial" w:cs="Arial"/>
                <w:sz w:val="22"/>
                <w:szCs w:val="22"/>
              </w:rPr>
            </w:pPr>
            <w:r w:rsidRPr="00C72551">
              <w:rPr>
                <w:rFonts w:ascii="Arial" w:hAnsi="Arial" w:cs="Arial"/>
                <w:sz w:val="22"/>
                <w:szCs w:val="22"/>
              </w:rPr>
              <w:t>£6,707.68</w:t>
            </w:r>
          </w:p>
        </w:tc>
        <w:tc>
          <w:tcPr>
            <w:tcW w:w="3177" w:type="dxa"/>
          </w:tcPr>
          <w:p w:rsidR="002400ED" w:rsidRPr="00C72551" w:rsidRDefault="002400ED" w:rsidP="00DC4700">
            <w:pPr>
              <w:jc w:val="both"/>
              <w:rPr>
                <w:rFonts w:ascii="Arial" w:hAnsi="Arial" w:cs="Arial"/>
                <w:sz w:val="22"/>
                <w:szCs w:val="22"/>
              </w:rPr>
            </w:pPr>
            <w:r>
              <w:rPr>
                <w:rFonts w:ascii="Arial" w:hAnsi="Arial" w:cs="Arial"/>
                <w:sz w:val="22"/>
                <w:szCs w:val="22"/>
              </w:rPr>
              <w:t>£1,006.15</w:t>
            </w:r>
          </w:p>
        </w:tc>
      </w:tr>
      <w:tr w:rsidR="002400ED" w:rsidTr="00DC4700">
        <w:tc>
          <w:tcPr>
            <w:tcW w:w="3098" w:type="dxa"/>
          </w:tcPr>
          <w:p w:rsidR="002400ED" w:rsidRPr="00997863" w:rsidRDefault="002400ED" w:rsidP="00DC4700">
            <w:pPr>
              <w:jc w:val="both"/>
              <w:rPr>
                <w:rFonts w:ascii="Arial" w:hAnsi="Arial" w:cs="Arial"/>
                <w:sz w:val="22"/>
                <w:szCs w:val="22"/>
              </w:rPr>
            </w:pPr>
            <w:r w:rsidRPr="00997863">
              <w:rPr>
                <w:rFonts w:ascii="Arial" w:hAnsi="Arial" w:cs="Arial"/>
                <w:sz w:val="22"/>
                <w:szCs w:val="22"/>
              </w:rPr>
              <w:t>Huish Episcopi</w:t>
            </w:r>
          </w:p>
        </w:tc>
        <w:tc>
          <w:tcPr>
            <w:tcW w:w="2645" w:type="dxa"/>
          </w:tcPr>
          <w:p w:rsidR="002400ED" w:rsidRPr="00C72551" w:rsidRDefault="002400ED" w:rsidP="00DC4700">
            <w:pPr>
              <w:jc w:val="both"/>
              <w:rPr>
                <w:rFonts w:ascii="Arial" w:hAnsi="Arial" w:cs="Arial"/>
                <w:sz w:val="22"/>
                <w:szCs w:val="22"/>
              </w:rPr>
            </w:pPr>
            <w:r>
              <w:rPr>
                <w:rFonts w:ascii="Arial" w:hAnsi="Arial" w:cs="Arial"/>
                <w:sz w:val="22"/>
                <w:szCs w:val="22"/>
              </w:rPr>
              <w:t>£8,428.00</w:t>
            </w:r>
          </w:p>
        </w:tc>
        <w:tc>
          <w:tcPr>
            <w:tcW w:w="3177" w:type="dxa"/>
          </w:tcPr>
          <w:p w:rsidR="002400ED" w:rsidRPr="00C72551" w:rsidRDefault="002400ED" w:rsidP="00DC4700">
            <w:pPr>
              <w:jc w:val="both"/>
              <w:rPr>
                <w:rFonts w:ascii="Arial" w:hAnsi="Arial" w:cs="Arial"/>
                <w:sz w:val="22"/>
                <w:szCs w:val="22"/>
              </w:rPr>
            </w:pPr>
            <w:r>
              <w:rPr>
                <w:rFonts w:ascii="Arial" w:hAnsi="Arial" w:cs="Arial"/>
                <w:sz w:val="22"/>
                <w:szCs w:val="22"/>
              </w:rPr>
              <w:t>£1,264.20</w:t>
            </w:r>
          </w:p>
        </w:tc>
      </w:tr>
      <w:tr w:rsidR="002400ED" w:rsidTr="00DC4700">
        <w:tc>
          <w:tcPr>
            <w:tcW w:w="3098" w:type="dxa"/>
          </w:tcPr>
          <w:p w:rsidR="002400ED" w:rsidRPr="00997863" w:rsidRDefault="002400ED" w:rsidP="00DC4700">
            <w:pPr>
              <w:jc w:val="both"/>
              <w:rPr>
                <w:rFonts w:ascii="Arial" w:hAnsi="Arial" w:cs="Arial"/>
                <w:sz w:val="22"/>
                <w:szCs w:val="22"/>
              </w:rPr>
            </w:pPr>
            <w:r w:rsidRPr="00997863">
              <w:rPr>
                <w:rFonts w:ascii="Arial" w:hAnsi="Arial" w:cs="Arial"/>
                <w:sz w:val="22"/>
                <w:szCs w:val="22"/>
              </w:rPr>
              <w:t>Yeovil</w:t>
            </w:r>
          </w:p>
        </w:tc>
        <w:tc>
          <w:tcPr>
            <w:tcW w:w="2645" w:type="dxa"/>
          </w:tcPr>
          <w:p w:rsidR="002400ED" w:rsidRPr="00C72551" w:rsidRDefault="002400ED" w:rsidP="00DC4700">
            <w:pPr>
              <w:jc w:val="both"/>
              <w:rPr>
                <w:rFonts w:ascii="Arial" w:hAnsi="Arial" w:cs="Arial"/>
                <w:sz w:val="22"/>
                <w:szCs w:val="22"/>
              </w:rPr>
            </w:pPr>
            <w:r>
              <w:rPr>
                <w:rFonts w:ascii="Arial" w:hAnsi="Arial" w:cs="Arial"/>
                <w:sz w:val="22"/>
                <w:szCs w:val="22"/>
              </w:rPr>
              <w:t>£2,800.80</w:t>
            </w:r>
          </w:p>
        </w:tc>
        <w:tc>
          <w:tcPr>
            <w:tcW w:w="3177" w:type="dxa"/>
          </w:tcPr>
          <w:p w:rsidR="002400ED" w:rsidRPr="00C72551" w:rsidRDefault="002400ED" w:rsidP="00DC4700">
            <w:pPr>
              <w:jc w:val="both"/>
              <w:rPr>
                <w:rFonts w:ascii="Arial" w:hAnsi="Arial" w:cs="Arial"/>
                <w:sz w:val="22"/>
                <w:szCs w:val="22"/>
              </w:rPr>
            </w:pPr>
            <w:r>
              <w:rPr>
                <w:rFonts w:ascii="Arial" w:hAnsi="Arial" w:cs="Arial"/>
                <w:sz w:val="22"/>
                <w:szCs w:val="22"/>
              </w:rPr>
              <w:t>£420.12</w:t>
            </w:r>
          </w:p>
        </w:tc>
      </w:tr>
      <w:tr w:rsidR="002400ED" w:rsidTr="00DC4700">
        <w:tc>
          <w:tcPr>
            <w:tcW w:w="3098" w:type="dxa"/>
          </w:tcPr>
          <w:p w:rsidR="002400ED" w:rsidRPr="00997863" w:rsidRDefault="002400ED" w:rsidP="00DC4700">
            <w:pPr>
              <w:jc w:val="both"/>
              <w:rPr>
                <w:rFonts w:ascii="Arial" w:hAnsi="Arial" w:cs="Arial"/>
                <w:sz w:val="22"/>
                <w:szCs w:val="22"/>
              </w:rPr>
            </w:pPr>
            <w:r w:rsidRPr="00997863">
              <w:rPr>
                <w:rFonts w:ascii="Arial" w:hAnsi="Arial" w:cs="Arial"/>
                <w:sz w:val="22"/>
                <w:szCs w:val="22"/>
              </w:rPr>
              <w:t>Chard Holyrood</w:t>
            </w:r>
          </w:p>
        </w:tc>
        <w:tc>
          <w:tcPr>
            <w:tcW w:w="2645" w:type="dxa"/>
          </w:tcPr>
          <w:p w:rsidR="002400ED" w:rsidRPr="00C72551" w:rsidRDefault="002400ED" w:rsidP="00DC4700">
            <w:pPr>
              <w:jc w:val="both"/>
              <w:rPr>
                <w:rFonts w:ascii="Arial" w:hAnsi="Arial" w:cs="Arial"/>
                <w:sz w:val="22"/>
                <w:szCs w:val="22"/>
              </w:rPr>
            </w:pPr>
            <w:r>
              <w:rPr>
                <w:rFonts w:ascii="Arial" w:hAnsi="Arial" w:cs="Arial"/>
                <w:sz w:val="22"/>
                <w:szCs w:val="22"/>
              </w:rPr>
              <w:t>£2,920.00</w:t>
            </w:r>
          </w:p>
        </w:tc>
        <w:tc>
          <w:tcPr>
            <w:tcW w:w="3177" w:type="dxa"/>
          </w:tcPr>
          <w:p w:rsidR="002400ED" w:rsidRPr="00C72551" w:rsidRDefault="002400ED" w:rsidP="00DC4700">
            <w:pPr>
              <w:jc w:val="both"/>
              <w:rPr>
                <w:rFonts w:ascii="Arial" w:hAnsi="Arial" w:cs="Arial"/>
                <w:sz w:val="22"/>
                <w:szCs w:val="22"/>
              </w:rPr>
            </w:pPr>
            <w:r>
              <w:rPr>
                <w:rFonts w:ascii="Arial" w:hAnsi="Arial" w:cs="Arial"/>
                <w:sz w:val="22"/>
                <w:szCs w:val="22"/>
              </w:rPr>
              <w:t>£438.00</w:t>
            </w:r>
          </w:p>
        </w:tc>
      </w:tr>
      <w:tr w:rsidR="002400ED" w:rsidTr="00DC4700">
        <w:tc>
          <w:tcPr>
            <w:tcW w:w="3098" w:type="dxa"/>
          </w:tcPr>
          <w:p w:rsidR="002400ED" w:rsidRPr="00997863" w:rsidRDefault="002400ED" w:rsidP="00DC4700">
            <w:pPr>
              <w:jc w:val="both"/>
              <w:rPr>
                <w:rFonts w:ascii="Arial" w:hAnsi="Arial" w:cs="Arial"/>
                <w:sz w:val="22"/>
                <w:szCs w:val="22"/>
              </w:rPr>
            </w:pPr>
            <w:r w:rsidRPr="00997863">
              <w:rPr>
                <w:rFonts w:ascii="Arial" w:hAnsi="Arial" w:cs="Arial"/>
                <w:sz w:val="22"/>
                <w:szCs w:val="22"/>
              </w:rPr>
              <w:t>Henstridge</w:t>
            </w:r>
          </w:p>
        </w:tc>
        <w:tc>
          <w:tcPr>
            <w:tcW w:w="2645" w:type="dxa"/>
          </w:tcPr>
          <w:p w:rsidR="002400ED" w:rsidRPr="00C72551" w:rsidRDefault="002400ED" w:rsidP="00DC4700">
            <w:pPr>
              <w:jc w:val="both"/>
              <w:rPr>
                <w:rFonts w:ascii="Arial" w:hAnsi="Arial" w:cs="Arial"/>
                <w:sz w:val="22"/>
                <w:szCs w:val="22"/>
              </w:rPr>
            </w:pPr>
            <w:r>
              <w:rPr>
                <w:rFonts w:ascii="Arial" w:hAnsi="Arial" w:cs="Arial"/>
                <w:sz w:val="22"/>
                <w:szCs w:val="22"/>
              </w:rPr>
              <w:t>£2,680.00</w:t>
            </w:r>
          </w:p>
        </w:tc>
        <w:tc>
          <w:tcPr>
            <w:tcW w:w="3177" w:type="dxa"/>
          </w:tcPr>
          <w:p w:rsidR="002400ED" w:rsidRPr="00C72551" w:rsidRDefault="002400ED" w:rsidP="00DC4700">
            <w:pPr>
              <w:jc w:val="both"/>
              <w:rPr>
                <w:rFonts w:ascii="Arial" w:hAnsi="Arial" w:cs="Arial"/>
                <w:sz w:val="22"/>
                <w:szCs w:val="22"/>
              </w:rPr>
            </w:pPr>
            <w:r>
              <w:rPr>
                <w:rFonts w:ascii="Arial" w:hAnsi="Arial" w:cs="Arial"/>
                <w:sz w:val="22"/>
                <w:szCs w:val="22"/>
              </w:rPr>
              <w:t>£402.00</w:t>
            </w:r>
          </w:p>
        </w:tc>
      </w:tr>
      <w:tr w:rsidR="002400ED" w:rsidTr="00DC4700">
        <w:tc>
          <w:tcPr>
            <w:tcW w:w="3098" w:type="dxa"/>
          </w:tcPr>
          <w:p w:rsidR="002400ED" w:rsidRPr="00202153" w:rsidRDefault="00532740" w:rsidP="00DC4700">
            <w:pPr>
              <w:jc w:val="both"/>
              <w:rPr>
                <w:rFonts w:ascii="Arial" w:hAnsi="Arial" w:cs="Arial"/>
                <w:sz w:val="22"/>
                <w:szCs w:val="22"/>
              </w:rPr>
            </w:pPr>
            <w:r>
              <w:rPr>
                <w:rFonts w:ascii="Arial" w:hAnsi="Arial" w:cs="Arial"/>
                <w:sz w:val="22"/>
                <w:szCs w:val="22"/>
              </w:rPr>
              <w:t>Total amount of CIL</w:t>
            </w:r>
            <w:r w:rsidR="002400ED" w:rsidRPr="00202153">
              <w:rPr>
                <w:rFonts w:ascii="Arial" w:hAnsi="Arial" w:cs="Arial"/>
                <w:sz w:val="22"/>
                <w:szCs w:val="22"/>
              </w:rPr>
              <w:t xml:space="preserve"> collected to date</w:t>
            </w:r>
          </w:p>
        </w:tc>
        <w:tc>
          <w:tcPr>
            <w:tcW w:w="2645" w:type="dxa"/>
          </w:tcPr>
          <w:p w:rsidR="002400ED" w:rsidRPr="00F35F45" w:rsidRDefault="002400ED" w:rsidP="00DC4700">
            <w:pPr>
              <w:jc w:val="both"/>
              <w:rPr>
                <w:rFonts w:ascii="Arial" w:hAnsi="Arial" w:cs="Arial"/>
                <w:b/>
                <w:sz w:val="22"/>
                <w:szCs w:val="22"/>
              </w:rPr>
            </w:pPr>
            <w:r w:rsidRPr="00F35F45">
              <w:rPr>
                <w:rFonts w:ascii="Arial" w:hAnsi="Arial" w:cs="Arial"/>
                <w:b/>
                <w:sz w:val="22"/>
                <w:szCs w:val="22"/>
              </w:rPr>
              <w:t>£23,536.48</w:t>
            </w:r>
          </w:p>
        </w:tc>
        <w:tc>
          <w:tcPr>
            <w:tcW w:w="3177" w:type="dxa"/>
          </w:tcPr>
          <w:p w:rsidR="002400ED" w:rsidRDefault="002400ED" w:rsidP="00DC4700">
            <w:pPr>
              <w:jc w:val="both"/>
              <w:rPr>
                <w:rFonts w:ascii="Arial" w:hAnsi="Arial" w:cs="Arial"/>
                <w:sz w:val="22"/>
                <w:szCs w:val="22"/>
              </w:rPr>
            </w:pPr>
          </w:p>
        </w:tc>
      </w:tr>
    </w:tbl>
    <w:p w:rsidR="002400ED" w:rsidRPr="00E44F42" w:rsidRDefault="002400ED" w:rsidP="002400ED">
      <w:pPr>
        <w:jc w:val="both"/>
        <w:rPr>
          <w:rFonts w:ascii="Arial" w:hAnsi="Arial" w:cs="Arial"/>
          <w:sz w:val="22"/>
          <w:szCs w:val="22"/>
        </w:rPr>
      </w:pPr>
    </w:p>
    <w:p w:rsidR="002400ED" w:rsidRPr="004B0444" w:rsidRDefault="002400ED" w:rsidP="002400ED">
      <w:pPr>
        <w:pStyle w:val="NormalWeb"/>
        <w:numPr>
          <w:ilvl w:val="0"/>
          <w:numId w:val="4"/>
        </w:numPr>
        <w:spacing w:after="240" w:afterAutospacing="0"/>
        <w:ind w:left="425" w:hanging="425"/>
        <w:jc w:val="both"/>
        <w:rPr>
          <w:rFonts w:ascii="Arial" w:hAnsi="Arial" w:cs="Arial"/>
          <w:sz w:val="22"/>
          <w:szCs w:val="22"/>
          <w:lang w:val="en"/>
        </w:rPr>
      </w:pPr>
      <w:r w:rsidRPr="004B0444">
        <w:rPr>
          <w:rFonts w:ascii="Arial" w:hAnsi="Arial" w:cs="Arial"/>
          <w:sz w:val="22"/>
          <w:szCs w:val="22"/>
          <w:lang w:val="en"/>
        </w:rPr>
        <w:lastRenderedPageBreak/>
        <w:t>The neighbourhood portion of the levy can be spent on a wider range of things than the rest of the levy, provided that it meets the requirement to ‘suppor</w:t>
      </w:r>
      <w:r>
        <w:rPr>
          <w:rFonts w:ascii="Arial" w:hAnsi="Arial" w:cs="Arial"/>
          <w:sz w:val="22"/>
          <w:szCs w:val="22"/>
          <w:lang w:val="en"/>
        </w:rPr>
        <w:t>t the development of the area’.</w:t>
      </w:r>
      <w:r w:rsidRPr="004B0444">
        <w:rPr>
          <w:rFonts w:ascii="Arial" w:hAnsi="Arial" w:cs="Arial"/>
          <w:sz w:val="22"/>
          <w:szCs w:val="22"/>
          <w:lang w:val="en"/>
        </w:rPr>
        <w:t xml:space="preserve"> The wider definition means that the neighbourhood portion can be spent on things other than infrastructure. For example, the pot could be used to fund affordable housing where it would support the development of the area by addressing the demands that development places on the area.</w:t>
      </w:r>
    </w:p>
    <w:p w:rsidR="002400ED" w:rsidRPr="004B0444" w:rsidRDefault="002400ED" w:rsidP="002400ED">
      <w:pPr>
        <w:pStyle w:val="NormalWeb"/>
        <w:numPr>
          <w:ilvl w:val="0"/>
          <w:numId w:val="4"/>
        </w:numPr>
        <w:spacing w:after="240" w:afterAutospacing="0"/>
        <w:ind w:left="425" w:hanging="425"/>
        <w:jc w:val="both"/>
        <w:rPr>
          <w:rFonts w:ascii="Arial" w:hAnsi="Arial" w:cs="Arial"/>
          <w:sz w:val="22"/>
          <w:szCs w:val="22"/>
          <w:lang w:val="en"/>
        </w:rPr>
      </w:pPr>
      <w:r w:rsidRPr="004B0444">
        <w:rPr>
          <w:rFonts w:ascii="Arial" w:hAnsi="Arial" w:cs="Arial"/>
          <w:sz w:val="22"/>
          <w:szCs w:val="22"/>
          <w:lang w:val="en"/>
        </w:rPr>
        <w:t>Once the levy is in place, parish, town and community could work closely with their neighbouring councils and the charging authority to agree on infrastructure spending pr</w:t>
      </w:r>
      <w:r>
        <w:rPr>
          <w:rFonts w:ascii="Arial" w:hAnsi="Arial" w:cs="Arial"/>
          <w:sz w:val="22"/>
          <w:szCs w:val="22"/>
          <w:lang w:val="en"/>
        </w:rPr>
        <w:t>iorities. If the parish or town</w:t>
      </w:r>
      <w:r w:rsidRPr="004B0444">
        <w:rPr>
          <w:rFonts w:ascii="Arial" w:hAnsi="Arial" w:cs="Arial"/>
          <w:sz w:val="22"/>
          <w:szCs w:val="22"/>
          <w:lang w:val="en"/>
        </w:rPr>
        <w:t xml:space="preserve"> shares the priorities of the charging authority, they may agree that the charging authority should retain the neighbourhood funding to spend on that infrastructure. It may be that this infrastructure (e</w:t>
      </w:r>
      <w:r>
        <w:rPr>
          <w:rFonts w:ascii="Arial" w:hAnsi="Arial" w:cs="Arial"/>
          <w:sz w:val="22"/>
          <w:szCs w:val="22"/>
          <w:lang w:val="en"/>
        </w:rPr>
        <w:t>.</w:t>
      </w:r>
      <w:r w:rsidRPr="004B0444">
        <w:rPr>
          <w:rFonts w:ascii="Arial" w:hAnsi="Arial" w:cs="Arial"/>
          <w:sz w:val="22"/>
          <w:szCs w:val="22"/>
          <w:lang w:val="en"/>
        </w:rPr>
        <w:t>g</w:t>
      </w:r>
      <w:r>
        <w:rPr>
          <w:rFonts w:ascii="Arial" w:hAnsi="Arial" w:cs="Arial"/>
          <w:sz w:val="22"/>
          <w:szCs w:val="22"/>
          <w:lang w:val="en"/>
        </w:rPr>
        <w:t>.</w:t>
      </w:r>
      <w:r w:rsidRPr="004B0444">
        <w:rPr>
          <w:rFonts w:ascii="Arial" w:hAnsi="Arial" w:cs="Arial"/>
          <w:sz w:val="22"/>
          <w:szCs w:val="22"/>
          <w:lang w:val="en"/>
        </w:rPr>
        <w:t xml:space="preserve"> a school) is not in the par</w:t>
      </w:r>
      <w:r>
        <w:rPr>
          <w:rFonts w:ascii="Arial" w:hAnsi="Arial" w:cs="Arial"/>
          <w:sz w:val="22"/>
          <w:szCs w:val="22"/>
          <w:lang w:val="en"/>
        </w:rPr>
        <w:t>ish or town’s</w:t>
      </w:r>
      <w:r w:rsidRPr="004B0444">
        <w:rPr>
          <w:rFonts w:ascii="Arial" w:hAnsi="Arial" w:cs="Arial"/>
          <w:sz w:val="22"/>
          <w:szCs w:val="22"/>
          <w:lang w:val="en"/>
        </w:rPr>
        <w:t xml:space="preserve"> administrative area, but will support </w:t>
      </w:r>
      <w:r>
        <w:rPr>
          <w:rFonts w:ascii="Arial" w:hAnsi="Arial" w:cs="Arial"/>
          <w:sz w:val="22"/>
          <w:szCs w:val="22"/>
          <w:lang w:val="en"/>
        </w:rPr>
        <w:t>development.</w:t>
      </w:r>
    </w:p>
    <w:p w:rsidR="002400ED" w:rsidRDefault="002400ED" w:rsidP="002400ED">
      <w:pPr>
        <w:pStyle w:val="ListParagraph"/>
        <w:numPr>
          <w:ilvl w:val="0"/>
          <w:numId w:val="4"/>
        </w:numPr>
        <w:autoSpaceDE w:val="0"/>
        <w:autoSpaceDN w:val="0"/>
        <w:adjustRightInd w:val="0"/>
        <w:spacing w:after="240"/>
        <w:ind w:left="425" w:hanging="425"/>
        <w:jc w:val="both"/>
        <w:rPr>
          <w:rFonts w:ascii="Arial" w:hAnsi="Arial" w:cs="Arial"/>
          <w:color w:val="000000"/>
          <w:sz w:val="22"/>
          <w:szCs w:val="22"/>
        </w:rPr>
      </w:pPr>
      <w:r w:rsidRPr="00021A40">
        <w:rPr>
          <w:rFonts w:ascii="Arial" w:hAnsi="Arial" w:cs="Arial"/>
          <w:color w:val="000000"/>
          <w:sz w:val="22"/>
          <w:szCs w:val="22"/>
        </w:rPr>
        <w:t>Payment periods associated with the transfer of the meaningful proportion to the parish/town council will be in accordance with regulation 59D of the CIL Regulations:</w:t>
      </w:r>
    </w:p>
    <w:p w:rsidR="002400ED" w:rsidRPr="004B0444" w:rsidRDefault="002400ED" w:rsidP="002400ED">
      <w:pPr>
        <w:pStyle w:val="ListParagraph"/>
        <w:numPr>
          <w:ilvl w:val="0"/>
          <w:numId w:val="1"/>
        </w:numPr>
        <w:autoSpaceDE w:val="0"/>
        <w:autoSpaceDN w:val="0"/>
        <w:adjustRightInd w:val="0"/>
        <w:jc w:val="both"/>
        <w:rPr>
          <w:rFonts w:ascii="Arial" w:hAnsi="Arial" w:cs="Arial"/>
          <w:color w:val="000000"/>
          <w:sz w:val="22"/>
          <w:szCs w:val="22"/>
        </w:rPr>
      </w:pPr>
      <w:r w:rsidRPr="004B0444">
        <w:rPr>
          <w:rFonts w:ascii="Arial" w:hAnsi="Arial" w:cs="Arial"/>
          <w:color w:val="000000"/>
          <w:sz w:val="22"/>
          <w:szCs w:val="22"/>
        </w:rPr>
        <w:t>The charging authority must make payment in respect of the CIL it receives from 1</w:t>
      </w:r>
      <w:r>
        <w:rPr>
          <w:rFonts w:ascii="Arial" w:hAnsi="Arial" w:cs="Arial"/>
          <w:color w:val="000000"/>
          <w:sz w:val="22"/>
          <w:szCs w:val="22"/>
        </w:rPr>
        <w:t>s</w:t>
      </w:r>
      <w:r w:rsidRPr="004B0444">
        <w:rPr>
          <w:rFonts w:ascii="Arial" w:hAnsi="Arial" w:cs="Arial"/>
          <w:color w:val="000000"/>
          <w:sz w:val="22"/>
          <w:szCs w:val="22"/>
        </w:rPr>
        <w:t>t April to 30th September in any financial year to the local parish/town council by 28</w:t>
      </w:r>
      <w:r w:rsidRPr="004B0444">
        <w:rPr>
          <w:rFonts w:ascii="Arial" w:hAnsi="Arial" w:cs="Arial"/>
          <w:color w:val="000000"/>
          <w:sz w:val="22"/>
          <w:szCs w:val="22"/>
          <w:vertAlign w:val="superscript"/>
        </w:rPr>
        <w:t>th</w:t>
      </w:r>
      <w:r w:rsidRPr="004B0444">
        <w:rPr>
          <w:rFonts w:ascii="Arial" w:hAnsi="Arial" w:cs="Arial"/>
          <w:color w:val="000000"/>
          <w:sz w:val="22"/>
          <w:szCs w:val="22"/>
        </w:rPr>
        <w:t xml:space="preserve"> October of that financial year.</w:t>
      </w:r>
    </w:p>
    <w:p w:rsidR="002400ED" w:rsidRPr="004B0444" w:rsidRDefault="002400ED" w:rsidP="002400ED">
      <w:pPr>
        <w:pStyle w:val="ListParagraph"/>
        <w:numPr>
          <w:ilvl w:val="0"/>
          <w:numId w:val="1"/>
        </w:numPr>
        <w:autoSpaceDE w:val="0"/>
        <w:autoSpaceDN w:val="0"/>
        <w:adjustRightInd w:val="0"/>
        <w:jc w:val="both"/>
        <w:rPr>
          <w:rFonts w:ascii="Arial" w:hAnsi="Arial" w:cs="Arial"/>
          <w:color w:val="000000"/>
          <w:sz w:val="22"/>
          <w:szCs w:val="22"/>
        </w:rPr>
      </w:pPr>
      <w:r w:rsidRPr="004B0444">
        <w:rPr>
          <w:rFonts w:ascii="Arial" w:hAnsi="Arial" w:cs="Arial"/>
          <w:color w:val="000000"/>
          <w:sz w:val="22"/>
          <w:szCs w:val="22"/>
        </w:rPr>
        <w:t>The charging authority must make payment in respect of the CIL it receives from 1st October to 31st March in any financial year to the local parish/town council by 28</w:t>
      </w:r>
      <w:r w:rsidRPr="004B0444">
        <w:rPr>
          <w:rFonts w:ascii="Arial" w:hAnsi="Arial" w:cs="Arial"/>
          <w:color w:val="000000"/>
          <w:sz w:val="22"/>
          <w:szCs w:val="22"/>
          <w:vertAlign w:val="superscript"/>
        </w:rPr>
        <w:t>th</w:t>
      </w:r>
      <w:r w:rsidRPr="004B0444">
        <w:rPr>
          <w:rFonts w:ascii="Arial" w:hAnsi="Arial" w:cs="Arial"/>
          <w:color w:val="000000"/>
          <w:sz w:val="22"/>
          <w:szCs w:val="22"/>
        </w:rPr>
        <w:t xml:space="preserve"> April of the following financial year.</w:t>
      </w:r>
    </w:p>
    <w:p w:rsidR="002400ED" w:rsidRPr="004B0444" w:rsidRDefault="002400ED" w:rsidP="002400ED">
      <w:pPr>
        <w:autoSpaceDE w:val="0"/>
        <w:autoSpaceDN w:val="0"/>
        <w:adjustRightInd w:val="0"/>
        <w:jc w:val="both"/>
        <w:rPr>
          <w:rFonts w:ascii="Arial" w:hAnsi="Arial" w:cs="Arial"/>
          <w:color w:val="000000"/>
          <w:sz w:val="22"/>
          <w:szCs w:val="22"/>
        </w:rPr>
      </w:pPr>
    </w:p>
    <w:p w:rsidR="002400ED" w:rsidRPr="00021A40" w:rsidRDefault="002400ED" w:rsidP="002400ED">
      <w:pPr>
        <w:pStyle w:val="ListParagraph"/>
        <w:numPr>
          <w:ilvl w:val="0"/>
          <w:numId w:val="4"/>
        </w:numPr>
        <w:autoSpaceDE w:val="0"/>
        <w:autoSpaceDN w:val="0"/>
        <w:adjustRightInd w:val="0"/>
        <w:ind w:left="426" w:hanging="426"/>
        <w:jc w:val="both"/>
        <w:rPr>
          <w:rFonts w:ascii="Arial" w:hAnsi="Arial" w:cs="Arial"/>
          <w:color w:val="000000"/>
          <w:sz w:val="22"/>
          <w:szCs w:val="22"/>
        </w:rPr>
      </w:pPr>
      <w:r w:rsidRPr="00021A40">
        <w:rPr>
          <w:rFonts w:ascii="Arial" w:hAnsi="Arial" w:cs="Arial"/>
          <w:color w:val="000000"/>
          <w:sz w:val="22"/>
          <w:szCs w:val="22"/>
        </w:rPr>
        <w:t xml:space="preserve">A Parish Council will be free to spend these funds on facilities that serve to address the demands that development places on its area, but will be obliged to report annually on CIL expenditure. The District Council would expect to receive annual financial reports four working weeks of the end of financial year. </w:t>
      </w:r>
    </w:p>
    <w:p w:rsidR="002400ED" w:rsidRDefault="002400ED" w:rsidP="002400ED">
      <w:pPr>
        <w:autoSpaceDE w:val="0"/>
        <w:autoSpaceDN w:val="0"/>
        <w:adjustRightInd w:val="0"/>
        <w:ind w:left="426" w:hanging="426"/>
        <w:jc w:val="both"/>
        <w:rPr>
          <w:rFonts w:ascii="Arial" w:hAnsi="Arial" w:cs="Arial"/>
          <w:color w:val="000000"/>
          <w:sz w:val="22"/>
          <w:szCs w:val="22"/>
        </w:rPr>
      </w:pPr>
    </w:p>
    <w:p w:rsidR="002400ED" w:rsidRPr="00021A40" w:rsidRDefault="002400ED" w:rsidP="002400ED">
      <w:pPr>
        <w:pStyle w:val="ListParagraph"/>
        <w:numPr>
          <w:ilvl w:val="0"/>
          <w:numId w:val="4"/>
        </w:numPr>
        <w:autoSpaceDE w:val="0"/>
        <w:autoSpaceDN w:val="0"/>
        <w:adjustRightInd w:val="0"/>
        <w:spacing w:after="240"/>
        <w:ind w:left="425" w:hanging="425"/>
        <w:jc w:val="both"/>
        <w:rPr>
          <w:rFonts w:ascii="Arial" w:hAnsi="Arial" w:cs="Arial"/>
          <w:color w:val="000000"/>
          <w:sz w:val="22"/>
          <w:szCs w:val="22"/>
        </w:rPr>
      </w:pPr>
      <w:r w:rsidRPr="00021A40">
        <w:rPr>
          <w:rFonts w:ascii="Arial" w:hAnsi="Arial" w:cs="Arial"/>
          <w:color w:val="000000"/>
          <w:sz w:val="22"/>
          <w:szCs w:val="22"/>
        </w:rPr>
        <w:t>Once the levy is in place, Parish and Town Councils should work closely with their neighbouring councils and the charging authority to agree on infrastructure spending priorities. If the Parish or Town Council shares the priorities of the charging authority, they may agree that the charging authority should retain the neighbourhood funding to spend on infrastructure that benefits their area.</w:t>
      </w:r>
    </w:p>
    <w:p w:rsidR="002400ED" w:rsidRPr="001F7129" w:rsidRDefault="002400ED" w:rsidP="002400ED">
      <w:pPr>
        <w:pStyle w:val="NormalWeb"/>
        <w:numPr>
          <w:ilvl w:val="0"/>
          <w:numId w:val="4"/>
        </w:numPr>
        <w:ind w:left="426" w:hanging="426"/>
        <w:jc w:val="both"/>
        <w:rPr>
          <w:rFonts w:ascii="Arial" w:hAnsi="Arial" w:cs="Arial"/>
          <w:sz w:val="22"/>
          <w:szCs w:val="22"/>
          <w:lang w:val="en"/>
        </w:rPr>
      </w:pPr>
      <w:r w:rsidRPr="004B0444">
        <w:rPr>
          <w:rFonts w:ascii="Arial" w:hAnsi="Arial" w:cs="Arial"/>
          <w:sz w:val="22"/>
          <w:szCs w:val="22"/>
          <w:lang w:val="en"/>
        </w:rPr>
        <w:t>If a p</w:t>
      </w:r>
      <w:r>
        <w:rPr>
          <w:rFonts w:ascii="Arial" w:hAnsi="Arial" w:cs="Arial"/>
          <w:sz w:val="22"/>
          <w:szCs w:val="22"/>
          <w:lang w:val="en"/>
        </w:rPr>
        <w:t>arish or town</w:t>
      </w:r>
      <w:r w:rsidRPr="004B0444">
        <w:rPr>
          <w:rFonts w:ascii="Arial" w:hAnsi="Arial" w:cs="Arial"/>
          <w:sz w:val="22"/>
          <w:szCs w:val="22"/>
          <w:lang w:val="en"/>
        </w:rPr>
        <w:t xml:space="preserve"> does not spend its levy share within 5 years of receipt, or does not spend it on initiatives that support the development of the area, the charging authority may require it to repay some or all of those funds to the charging authority.</w:t>
      </w:r>
    </w:p>
    <w:p w:rsidR="005C3432" w:rsidRDefault="005C3432" w:rsidP="0086455B">
      <w:pPr>
        <w:jc w:val="both"/>
        <w:rPr>
          <w:rFonts w:ascii="Arial" w:hAnsi="Arial" w:cs="Arial"/>
          <w:b/>
          <w:szCs w:val="22"/>
        </w:rPr>
      </w:pPr>
    </w:p>
    <w:p w:rsidR="00872733" w:rsidRPr="00E716ED" w:rsidRDefault="008A3D33" w:rsidP="0086455B">
      <w:pPr>
        <w:jc w:val="both"/>
        <w:rPr>
          <w:rFonts w:ascii="Arial" w:hAnsi="Arial" w:cs="Arial"/>
          <w:b/>
          <w:szCs w:val="22"/>
        </w:rPr>
      </w:pPr>
      <w:r w:rsidRPr="00E716ED">
        <w:rPr>
          <w:rFonts w:ascii="Arial" w:hAnsi="Arial" w:cs="Arial"/>
          <w:b/>
          <w:szCs w:val="22"/>
        </w:rPr>
        <w:t xml:space="preserve">What can </w:t>
      </w:r>
      <w:r w:rsidR="00CF3C9D" w:rsidRPr="00E716ED">
        <w:rPr>
          <w:rFonts w:ascii="Arial" w:hAnsi="Arial" w:cs="Arial"/>
          <w:b/>
          <w:szCs w:val="22"/>
        </w:rPr>
        <w:t xml:space="preserve">the Local Authority </w:t>
      </w:r>
      <w:r w:rsidRPr="00E716ED">
        <w:rPr>
          <w:rFonts w:ascii="Arial" w:hAnsi="Arial" w:cs="Arial"/>
          <w:b/>
          <w:szCs w:val="22"/>
        </w:rPr>
        <w:t xml:space="preserve">CIL Receipts be </w:t>
      </w:r>
      <w:r w:rsidR="00D11645" w:rsidRPr="00E716ED">
        <w:rPr>
          <w:rFonts w:ascii="Arial" w:hAnsi="Arial" w:cs="Arial"/>
          <w:b/>
          <w:szCs w:val="22"/>
        </w:rPr>
        <w:t>spent</w:t>
      </w:r>
      <w:r w:rsidRPr="00E716ED">
        <w:rPr>
          <w:rFonts w:ascii="Arial" w:hAnsi="Arial" w:cs="Arial"/>
          <w:b/>
          <w:szCs w:val="22"/>
        </w:rPr>
        <w:t xml:space="preserve"> on?</w:t>
      </w:r>
    </w:p>
    <w:p w:rsidR="00D34D2F" w:rsidRDefault="00D34D2F" w:rsidP="009069F1">
      <w:pPr>
        <w:pStyle w:val="NormalWeb"/>
        <w:numPr>
          <w:ilvl w:val="0"/>
          <w:numId w:val="4"/>
        </w:numPr>
        <w:tabs>
          <w:tab w:val="left" w:pos="567"/>
        </w:tabs>
        <w:spacing w:after="240" w:afterAutospacing="0"/>
        <w:ind w:left="425" w:hanging="425"/>
        <w:jc w:val="both"/>
        <w:rPr>
          <w:rFonts w:ascii="Arial" w:hAnsi="Arial" w:cs="Arial"/>
          <w:sz w:val="22"/>
          <w:szCs w:val="22"/>
          <w:lang w:val="en"/>
        </w:rPr>
      </w:pPr>
      <w:r w:rsidRPr="004B0444">
        <w:rPr>
          <w:rFonts w:ascii="Arial" w:hAnsi="Arial" w:cs="Arial"/>
          <w:sz w:val="22"/>
          <w:szCs w:val="22"/>
          <w:lang w:val="en"/>
        </w:rPr>
        <w:t>The l</w:t>
      </w:r>
      <w:r w:rsidR="009F2BC9" w:rsidRPr="004B0444">
        <w:rPr>
          <w:rFonts w:ascii="Arial" w:hAnsi="Arial" w:cs="Arial"/>
          <w:sz w:val="22"/>
          <w:szCs w:val="22"/>
          <w:lang w:val="en"/>
        </w:rPr>
        <w:t>e</w:t>
      </w:r>
      <w:r w:rsidRPr="004B0444">
        <w:rPr>
          <w:rFonts w:ascii="Arial" w:hAnsi="Arial" w:cs="Arial"/>
          <w:sz w:val="22"/>
          <w:szCs w:val="22"/>
          <w:lang w:val="en"/>
        </w:rPr>
        <w:t>vy can be used to fund a wide range of infrastructure, including tr</w:t>
      </w:r>
      <w:r w:rsidR="009F2BC9" w:rsidRPr="004B0444">
        <w:rPr>
          <w:rFonts w:ascii="Arial" w:hAnsi="Arial" w:cs="Arial"/>
          <w:sz w:val="22"/>
          <w:szCs w:val="22"/>
          <w:lang w:val="en"/>
        </w:rPr>
        <w:t>ansport, flood defences</w:t>
      </w:r>
      <w:r w:rsidR="004B0444">
        <w:rPr>
          <w:rFonts w:ascii="Arial" w:hAnsi="Arial" w:cs="Arial"/>
          <w:sz w:val="22"/>
          <w:szCs w:val="22"/>
          <w:lang w:val="en"/>
        </w:rPr>
        <w:t xml:space="preserve">, </w:t>
      </w:r>
      <w:r w:rsidR="009F2BC9" w:rsidRPr="004B0444">
        <w:rPr>
          <w:rFonts w:ascii="Arial" w:hAnsi="Arial" w:cs="Arial"/>
          <w:sz w:val="22"/>
          <w:szCs w:val="22"/>
          <w:lang w:val="en"/>
        </w:rPr>
        <w:t>schools</w:t>
      </w:r>
      <w:r w:rsidRPr="004B0444">
        <w:rPr>
          <w:rFonts w:ascii="Arial" w:hAnsi="Arial" w:cs="Arial"/>
          <w:sz w:val="22"/>
          <w:szCs w:val="22"/>
          <w:lang w:val="en"/>
        </w:rPr>
        <w:t>, hospitals, and other health and social care facilities. This definition allows the levy to be used to fund a very broad range of facilities such as play areas, parks and green spaces, cultural and sports facilities, district heating schemes and police stations and other community safety facilities. This flexibility gives local areas the opportunity to choose what infrastructure they need to deliver their Local Plan.   Charging authorities may not use the levy to fund affordable housing.</w:t>
      </w:r>
    </w:p>
    <w:p w:rsidR="00CA27D2" w:rsidRDefault="00CA27D2" w:rsidP="009069F1">
      <w:pPr>
        <w:pStyle w:val="NormalWeb"/>
        <w:numPr>
          <w:ilvl w:val="0"/>
          <w:numId w:val="4"/>
        </w:numPr>
        <w:tabs>
          <w:tab w:val="left" w:pos="567"/>
        </w:tabs>
        <w:spacing w:after="240" w:afterAutospacing="0"/>
        <w:ind w:left="425" w:hanging="425"/>
        <w:jc w:val="both"/>
        <w:rPr>
          <w:rFonts w:ascii="Arial" w:hAnsi="Arial" w:cs="Arial"/>
          <w:sz w:val="22"/>
          <w:szCs w:val="22"/>
          <w:lang w:val="en"/>
        </w:rPr>
      </w:pPr>
      <w:r w:rsidRPr="004B0444">
        <w:rPr>
          <w:rFonts w:ascii="Arial" w:hAnsi="Arial" w:cs="Arial"/>
          <w:sz w:val="22"/>
          <w:szCs w:val="22"/>
          <w:lang w:val="en"/>
        </w:rPr>
        <w:t xml:space="preserve">South Somerset’s </w:t>
      </w:r>
      <w:r w:rsidRPr="004B0444">
        <w:rPr>
          <w:rFonts w:ascii="Arial" w:hAnsi="Arial" w:cs="Arial"/>
          <w:sz w:val="22"/>
          <w:szCs w:val="22"/>
          <w:u w:val="single"/>
          <w:lang w:val="en"/>
        </w:rPr>
        <w:t>Regulation 123</w:t>
      </w:r>
      <w:r w:rsidRPr="004B0444">
        <w:rPr>
          <w:rFonts w:ascii="Arial" w:hAnsi="Arial" w:cs="Arial"/>
          <w:sz w:val="22"/>
          <w:szCs w:val="22"/>
          <w:lang w:val="en"/>
        </w:rPr>
        <w:t xml:space="preserve"> list excludes education as the County Council</w:t>
      </w:r>
      <w:r w:rsidR="00EB59ED">
        <w:rPr>
          <w:rFonts w:ascii="Arial" w:hAnsi="Arial" w:cs="Arial"/>
          <w:sz w:val="22"/>
          <w:szCs w:val="22"/>
          <w:lang w:val="en"/>
        </w:rPr>
        <w:t xml:space="preserve"> was</w:t>
      </w:r>
      <w:r w:rsidRPr="004B0444">
        <w:rPr>
          <w:rFonts w:ascii="Arial" w:hAnsi="Arial" w:cs="Arial"/>
          <w:sz w:val="22"/>
          <w:szCs w:val="22"/>
          <w:lang w:val="en"/>
        </w:rPr>
        <w:t xml:space="preserve"> of the view that it would </w:t>
      </w:r>
      <w:r w:rsidR="00874102">
        <w:rPr>
          <w:rFonts w:ascii="Arial" w:hAnsi="Arial" w:cs="Arial"/>
          <w:sz w:val="22"/>
          <w:szCs w:val="22"/>
          <w:lang w:val="en"/>
        </w:rPr>
        <w:t>be preferable to request e</w:t>
      </w:r>
      <w:r w:rsidRPr="004B0444">
        <w:rPr>
          <w:rFonts w:ascii="Arial" w:hAnsi="Arial" w:cs="Arial"/>
          <w:sz w:val="22"/>
          <w:szCs w:val="22"/>
          <w:lang w:val="en"/>
        </w:rPr>
        <w:t>ducation contributions through the exi</w:t>
      </w:r>
      <w:r w:rsidR="00544EBC">
        <w:rPr>
          <w:rFonts w:ascii="Arial" w:hAnsi="Arial" w:cs="Arial"/>
          <w:sz w:val="22"/>
          <w:szCs w:val="22"/>
          <w:lang w:val="en"/>
        </w:rPr>
        <w:t>s</w:t>
      </w:r>
      <w:r w:rsidRPr="004B0444">
        <w:rPr>
          <w:rFonts w:ascii="Arial" w:hAnsi="Arial" w:cs="Arial"/>
          <w:sz w:val="22"/>
          <w:szCs w:val="22"/>
          <w:lang w:val="en"/>
        </w:rPr>
        <w:t xml:space="preserve">ting Section 106 regime. </w:t>
      </w:r>
    </w:p>
    <w:p w:rsidR="00D34D2F" w:rsidRPr="004B0444" w:rsidRDefault="00D34D2F" w:rsidP="009069F1">
      <w:pPr>
        <w:pStyle w:val="NormalWeb"/>
        <w:numPr>
          <w:ilvl w:val="0"/>
          <w:numId w:val="4"/>
        </w:numPr>
        <w:tabs>
          <w:tab w:val="left" w:pos="567"/>
        </w:tabs>
        <w:spacing w:after="240" w:afterAutospacing="0"/>
        <w:ind w:left="425" w:hanging="425"/>
        <w:jc w:val="both"/>
        <w:rPr>
          <w:rFonts w:ascii="Arial" w:hAnsi="Arial" w:cs="Arial"/>
          <w:sz w:val="22"/>
          <w:szCs w:val="22"/>
          <w:lang w:val="en"/>
        </w:rPr>
      </w:pPr>
      <w:r w:rsidRPr="004B0444">
        <w:rPr>
          <w:rFonts w:ascii="Arial" w:hAnsi="Arial" w:cs="Arial"/>
          <w:sz w:val="22"/>
          <w:szCs w:val="22"/>
          <w:lang w:val="en"/>
        </w:rPr>
        <w:t xml:space="preserve">Local authorities must spend the levy on infrastructure needed to support the development of their area, and they will decide what infrastructure is needed. The levy </w:t>
      </w:r>
      <w:r w:rsidRPr="004B0444">
        <w:rPr>
          <w:rFonts w:ascii="Arial" w:hAnsi="Arial" w:cs="Arial"/>
          <w:sz w:val="22"/>
          <w:szCs w:val="22"/>
          <w:lang w:val="en"/>
        </w:rPr>
        <w:lastRenderedPageBreak/>
        <w:t>is intended to focus on the provision of new infrastructure and should not be used to remedy pre-existing deficiencies in infrastructure provision unless those deficiencies will be made more severe by new development.</w:t>
      </w:r>
    </w:p>
    <w:p w:rsidR="009F2BC9" w:rsidRDefault="00D34D2F" w:rsidP="009069F1">
      <w:pPr>
        <w:pStyle w:val="NormalWeb"/>
        <w:numPr>
          <w:ilvl w:val="0"/>
          <w:numId w:val="4"/>
        </w:numPr>
        <w:tabs>
          <w:tab w:val="left" w:pos="567"/>
        </w:tabs>
        <w:spacing w:after="240" w:afterAutospacing="0"/>
        <w:ind w:left="425" w:hanging="425"/>
        <w:jc w:val="both"/>
        <w:rPr>
          <w:rFonts w:ascii="Arial" w:hAnsi="Arial" w:cs="Arial"/>
          <w:sz w:val="22"/>
          <w:szCs w:val="22"/>
          <w:lang w:val="en"/>
        </w:rPr>
      </w:pPr>
      <w:r w:rsidRPr="004B0444">
        <w:rPr>
          <w:rFonts w:ascii="Arial" w:hAnsi="Arial" w:cs="Arial"/>
          <w:sz w:val="22"/>
          <w:szCs w:val="22"/>
          <w:lang w:val="en"/>
        </w:rPr>
        <w:t>The levy can be used to increase the capacity of existing infrastructure or to repair failing existing infrastructure, if that is n</w:t>
      </w:r>
      <w:r w:rsidR="00CF3C9D" w:rsidRPr="004B0444">
        <w:rPr>
          <w:rFonts w:ascii="Arial" w:hAnsi="Arial" w:cs="Arial"/>
          <w:sz w:val="22"/>
          <w:szCs w:val="22"/>
          <w:lang w:val="en"/>
        </w:rPr>
        <w:t>ecessary to support development.</w:t>
      </w:r>
    </w:p>
    <w:p w:rsidR="00874102" w:rsidRPr="00874102" w:rsidRDefault="00874102" w:rsidP="009069F1">
      <w:pPr>
        <w:pStyle w:val="NormalWeb"/>
        <w:numPr>
          <w:ilvl w:val="0"/>
          <w:numId w:val="4"/>
        </w:numPr>
        <w:tabs>
          <w:tab w:val="left" w:pos="567"/>
        </w:tabs>
        <w:spacing w:after="240" w:afterAutospacing="0"/>
        <w:ind w:left="425" w:hanging="425"/>
        <w:jc w:val="both"/>
        <w:rPr>
          <w:rFonts w:ascii="Arial" w:hAnsi="Arial" w:cs="Arial"/>
          <w:sz w:val="22"/>
          <w:szCs w:val="22"/>
          <w:lang w:val="en"/>
        </w:rPr>
      </w:pPr>
      <w:r>
        <w:rPr>
          <w:rFonts w:ascii="Arial" w:hAnsi="Arial" w:cs="Arial"/>
          <w:sz w:val="22"/>
          <w:szCs w:val="22"/>
          <w:lang w:val="en"/>
        </w:rPr>
        <w:t>It is important for members to bear in mind that CIL receipts should be reinvested in infrastructure to allow further growth to occur.  These  receipts are not some form of ‘compensation’ for the district accepting new development but instead are an im</w:t>
      </w:r>
      <w:r w:rsidR="00313E90">
        <w:rPr>
          <w:rFonts w:ascii="Arial" w:hAnsi="Arial" w:cs="Arial"/>
          <w:sz w:val="22"/>
          <w:szCs w:val="22"/>
          <w:lang w:val="en"/>
        </w:rPr>
        <w:t>portant element in creating conditions whereby further economic benefits can be facilitated.</w:t>
      </w:r>
      <w:r>
        <w:rPr>
          <w:rFonts w:ascii="Arial" w:hAnsi="Arial" w:cs="Arial"/>
          <w:sz w:val="22"/>
          <w:szCs w:val="22"/>
          <w:lang w:val="en"/>
        </w:rPr>
        <w:t xml:space="preserve">  </w:t>
      </w:r>
    </w:p>
    <w:p w:rsidR="004B0444" w:rsidRPr="00E716ED" w:rsidRDefault="00E716ED" w:rsidP="004B0444">
      <w:pPr>
        <w:spacing w:before="100" w:beforeAutospacing="1" w:after="100" w:afterAutospacing="1"/>
        <w:jc w:val="both"/>
        <w:rPr>
          <w:rFonts w:ascii="Arial" w:hAnsi="Arial" w:cs="Arial"/>
          <w:b/>
          <w:lang w:val="en"/>
        </w:rPr>
      </w:pPr>
      <w:r>
        <w:rPr>
          <w:rFonts w:ascii="Arial" w:hAnsi="Arial" w:cs="Arial"/>
          <w:b/>
          <w:lang w:val="en"/>
        </w:rPr>
        <w:t>Proposed Structure for Spending</w:t>
      </w:r>
    </w:p>
    <w:p w:rsidR="004B0444" w:rsidRDefault="004B0444" w:rsidP="009069F1">
      <w:pPr>
        <w:pStyle w:val="ListParagraph"/>
        <w:numPr>
          <w:ilvl w:val="0"/>
          <w:numId w:val="4"/>
        </w:numPr>
        <w:spacing w:before="100" w:beforeAutospacing="1" w:after="100" w:afterAutospacing="1"/>
        <w:ind w:left="426" w:hanging="426"/>
        <w:jc w:val="both"/>
        <w:rPr>
          <w:rFonts w:ascii="Arial" w:hAnsi="Arial" w:cs="Arial"/>
          <w:sz w:val="22"/>
          <w:szCs w:val="22"/>
          <w:lang w:val="en"/>
        </w:rPr>
      </w:pPr>
      <w:r w:rsidRPr="009069F1">
        <w:rPr>
          <w:rFonts w:ascii="Arial" w:hAnsi="Arial" w:cs="Arial"/>
          <w:sz w:val="22"/>
          <w:szCs w:val="22"/>
          <w:lang w:val="en"/>
        </w:rPr>
        <w:t xml:space="preserve">It is proposed that the council will produce an </w:t>
      </w:r>
      <w:r w:rsidRPr="009069F1">
        <w:rPr>
          <w:rFonts w:ascii="Arial" w:hAnsi="Arial" w:cs="Arial"/>
          <w:b/>
          <w:sz w:val="22"/>
          <w:szCs w:val="22"/>
          <w:lang w:val="en"/>
        </w:rPr>
        <w:t xml:space="preserve">Infrastructure Business Plan (IBP) </w:t>
      </w:r>
      <w:r w:rsidRPr="009069F1">
        <w:rPr>
          <w:rFonts w:ascii="Arial" w:hAnsi="Arial" w:cs="Arial"/>
          <w:sz w:val="22"/>
          <w:szCs w:val="22"/>
          <w:lang w:val="en"/>
        </w:rPr>
        <w:t>that is updated annually. The CIL Annual Report will be appended to the IBP which will</w:t>
      </w:r>
    </w:p>
    <w:p w:rsidR="009069F1" w:rsidRPr="009069F1" w:rsidRDefault="009069F1" w:rsidP="009069F1">
      <w:pPr>
        <w:pStyle w:val="ListParagraph"/>
        <w:spacing w:before="100" w:beforeAutospacing="1" w:after="100" w:afterAutospacing="1"/>
        <w:ind w:left="426"/>
        <w:jc w:val="both"/>
        <w:rPr>
          <w:rFonts w:ascii="Arial" w:hAnsi="Arial" w:cs="Arial"/>
          <w:sz w:val="22"/>
          <w:szCs w:val="22"/>
          <w:lang w:val="en"/>
        </w:rPr>
      </w:pPr>
    </w:p>
    <w:p w:rsidR="004B0444" w:rsidRPr="004B0444" w:rsidRDefault="004B0444" w:rsidP="004B0444">
      <w:pPr>
        <w:pStyle w:val="ListParagraph"/>
        <w:numPr>
          <w:ilvl w:val="0"/>
          <w:numId w:val="1"/>
        </w:numPr>
        <w:spacing w:before="100" w:beforeAutospacing="1" w:after="100" w:afterAutospacing="1"/>
        <w:jc w:val="both"/>
        <w:rPr>
          <w:rFonts w:ascii="Arial" w:hAnsi="Arial" w:cs="Arial"/>
          <w:sz w:val="22"/>
          <w:szCs w:val="22"/>
          <w:lang w:val="en"/>
        </w:rPr>
      </w:pPr>
      <w:r w:rsidRPr="004B0444">
        <w:rPr>
          <w:rFonts w:ascii="Arial" w:hAnsi="Arial" w:cs="Arial"/>
          <w:sz w:val="22"/>
          <w:szCs w:val="22"/>
          <w:lang w:val="en"/>
        </w:rPr>
        <w:t>Identify the projects from the Regulation 123 Infrastructure List that will benefit from CIL receipts;</w:t>
      </w:r>
    </w:p>
    <w:p w:rsidR="004B0444" w:rsidRPr="004B0444" w:rsidRDefault="004B0444" w:rsidP="004B0444">
      <w:pPr>
        <w:pStyle w:val="ListParagraph"/>
        <w:numPr>
          <w:ilvl w:val="0"/>
          <w:numId w:val="1"/>
        </w:numPr>
        <w:spacing w:before="100" w:beforeAutospacing="1" w:after="100" w:afterAutospacing="1"/>
        <w:jc w:val="both"/>
        <w:rPr>
          <w:rFonts w:ascii="Arial" w:hAnsi="Arial" w:cs="Arial"/>
          <w:sz w:val="22"/>
          <w:szCs w:val="22"/>
          <w:lang w:val="en"/>
        </w:rPr>
      </w:pPr>
      <w:r w:rsidRPr="004B0444">
        <w:rPr>
          <w:rFonts w:ascii="Arial" w:hAnsi="Arial" w:cs="Arial"/>
          <w:sz w:val="22"/>
          <w:szCs w:val="22"/>
          <w:lang w:val="en"/>
        </w:rPr>
        <w:t>Set out the process and criteria to enable members to prioritise infrastructure;</w:t>
      </w:r>
    </w:p>
    <w:p w:rsidR="004B0444" w:rsidRPr="004B0444" w:rsidRDefault="004B0444" w:rsidP="004B0444">
      <w:pPr>
        <w:pStyle w:val="ListParagraph"/>
        <w:numPr>
          <w:ilvl w:val="0"/>
          <w:numId w:val="1"/>
        </w:numPr>
        <w:spacing w:before="100" w:beforeAutospacing="1" w:after="100" w:afterAutospacing="1"/>
        <w:jc w:val="both"/>
        <w:rPr>
          <w:rFonts w:ascii="Arial" w:hAnsi="Arial" w:cs="Arial"/>
          <w:sz w:val="22"/>
          <w:szCs w:val="22"/>
          <w:lang w:val="en"/>
        </w:rPr>
      </w:pPr>
      <w:r w:rsidRPr="004B0444">
        <w:rPr>
          <w:rFonts w:ascii="Arial" w:hAnsi="Arial" w:cs="Arial"/>
          <w:sz w:val="22"/>
          <w:szCs w:val="22"/>
          <w:lang w:val="en"/>
        </w:rPr>
        <w:t>Identify other funding sources</w:t>
      </w:r>
    </w:p>
    <w:p w:rsidR="004B0444" w:rsidRPr="004B0444" w:rsidRDefault="004B0444" w:rsidP="004B0444">
      <w:pPr>
        <w:pStyle w:val="ListParagraph"/>
        <w:numPr>
          <w:ilvl w:val="0"/>
          <w:numId w:val="1"/>
        </w:numPr>
        <w:spacing w:before="100" w:beforeAutospacing="1" w:after="100" w:afterAutospacing="1"/>
        <w:jc w:val="both"/>
        <w:rPr>
          <w:rFonts w:ascii="Arial" w:hAnsi="Arial" w:cs="Arial"/>
          <w:sz w:val="22"/>
          <w:szCs w:val="22"/>
          <w:lang w:val="en"/>
        </w:rPr>
      </w:pPr>
      <w:r w:rsidRPr="004B0444">
        <w:rPr>
          <w:rFonts w:ascii="Arial" w:hAnsi="Arial" w:cs="Arial"/>
          <w:sz w:val="22"/>
          <w:szCs w:val="22"/>
          <w:lang w:val="en"/>
        </w:rPr>
        <w:t>Provide a cash-flow and spending plan;</w:t>
      </w:r>
    </w:p>
    <w:p w:rsidR="004B0444" w:rsidRDefault="004B0444" w:rsidP="004B0444">
      <w:pPr>
        <w:pStyle w:val="ListParagraph"/>
        <w:numPr>
          <w:ilvl w:val="0"/>
          <w:numId w:val="1"/>
        </w:numPr>
        <w:spacing w:before="100" w:beforeAutospacing="1" w:after="100" w:afterAutospacing="1"/>
        <w:jc w:val="both"/>
        <w:rPr>
          <w:rFonts w:ascii="Arial" w:hAnsi="Arial" w:cs="Arial"/>
          <w:sz w:val="22"/>
          <w:szCs w:val="22"/>
          <w:lang w:val="en"/>
        </w:rPr>
      </w:pPr>
      <w:r w:rsidRPr="004B0444">
        <w:rPr>
          <w:rFonts w:ascii="Arial" w:hAnsi="Arial" w:cs="Arial"/>
          <w:sz w:val="22"/>
          <w:szCs w:val="22"/>
          <w:lang w:val="en"/>
        </w:rPr>
        <w:t xml:space="preserve">Provide a review of the infrastructure that is contained within the Regulation 123 list </w:t>
      </w:r>
    </w:p>
    <w:p w:rsidR="009069F1" w:rsidRPr="004B0444" w:rsidRDefault="009069F1" w:rsidP="009069F1">
      <w:pPr>
        <w:pStyle w:val="ListParagraph"/>
        <w:spacing w:before="100" w:beforeAutospacing="1" w:after="100" w:afterAutospacing="1"/>
        <w:jc w:val="both"/>
        <w:rPr>
          <w:rFonts w:ascii="Arial" w:hAnsi="Arial" w:cs="Arial"/>
          <w:sz w:val="22"/>
          <w:szCs w:val="22"/>
          <w:lang w:val="en"/>
        </w:rPr>
      </w:pPr>
    </w:p>
    <w:p w:rsidR="009069F1" w:rsidRDefault="00874102" w:rsidP="009069F1">
      <w:pPr>
        <w:pStyle w:val="ListParagraph"/>
        <w:numPr>
          <w:ilvl w:val="0"/>
          <w:numId w:val="4"/>
        </w:numPr>
        <w:tabs>
          <w:tab w:val="left" w:pos="426"/>
        </w:tabs>
        <w:spacing w:before="100" w:beforeAutospacing="1" w:after="240"/>
        <w:ind w:left="425" w:hanging="425"/>
        <w:jc w:val="both"/>
        <w:rPr>
          <w:rFonts w:ascii="Arial" w:hAnsi="Arial" w:cs="Arial"/>
          <w:sz w:val="22"/>
          <w:szCs w:val="22"/>
          <w:lang w:val="en"/>
        </w:rPr>
      </w:pPr>
      <w:r w:rsidRPr="009069F1">
        <w:rPr>
          <w:rFonts w:ascii="Arial" w:hAnsi="Arial" w:cs="Arial"/>
          <w:sz w:val="22"/>
          <w:szCs w:val="22"/>
          <w:lang w:val="en"/>
        </w:rPr>
        <w:t>The IBP will provide members, officers and external stakeholders with a list of the projects that are suitable for CIL investment.</w:t>
      </w:r>
      <w:r w:rsidR="005769D8" w:rsidRPr="009069F1">
        <w:rPr>
          <w:rFonts w:ascii="Arial" w:hAnsi="Arial" w:cs="Arial"/>
          <w:sz w:val="22"/>
          <w:szCs w:val="22"/>
          <w:lang w:val="en"/>
        </w:rPr>
        <w:t xml:space="preserve"> Members should be aware that these may n</w:t>
      </w:r>
      <w:r w:rsidR="009069F1">
        <w:rPr>
          <w:rFonts w:ascii="Arial" w:hAnsi="Arial" w:cs="Arial"/>
          <w:sz w:val="22"/>
          <w:szCs w:val="22"/>
          <w:lang w:val="en"/>
        </w:rPr>
        <w:t>o</w:t>
      </w:r>
      <w:r w:rsidR="005769D8" w:rsidRPr="009069F1">
        <w:rPr>
          <w:rFonts w:ascii="Arial" w:hAnsi="Arial" w:cs="Arial"/>
          <w:sz w:val="22"/>
          <w:szCs w:val="22"/>
          <w:lang w:val="en"/>
        </w:rPr>
        <w:t>t all be SSDC projects</w:t>
      </w:r>
      <w:r w:rsidR="009069F1">
        <w:rPr>
          <w:rFonts w:ascii="Arial" w:hAnsi="Arial" w:cs="Arial"/>
          <w:sz w:val="22"/>
          <w:szCs w:val="22"/>
          <w:lang w:val="en"/>
        </w:rPr>
        <w:t>.</w:t>
      </w:r>
    </w:p>
    <w:p w:rsidR="00874102" w:rsidRPr="009069F1" w:rsidRDefault="00874102" w:rsidP="009069F1">
      <w:pPr>
        <w:pStyle w:val="ListParagraph"/>
        <w:tabs>
          <w:tab w:val="left" w:pos="426"/>
        </w:tabs>
        <w:spacing w:before="100" w:beforeAutospacing="1" w:after="240"/>
        <w:ind w:left="425"/>
        <w:jc w:val="both"/>
        <w:rPr>
          <w:rFonts w:ascii="Arial" w:hAnsi="Arial" w:cs="Arial"/>
          <w:sz w:val="22"/>
          <w:szCs w:val="22"/>
          <w:lang w:val="en"/>
        </w:rPr>
      </w:pPr>
      <w:r w:rsidRPr="009069F1">
        <w:rPr>
          <w:rFonts w:ascii="Arial" w:hAnsi="Arial" w:cs="Arial"/>
          <w:sz w:val="22"/>
          <w:szCs w:val="22"/>
          <w:lang w:val="en"/>
        </w:rPr>
        <w:t xml:space="preserve">   </w:t>
      </w:r>
    </w:p>
    <w:p w:rsidR="00EF27E7" w:rsidRDefault="00EF27E7" w:rsidP="009069F1">
      <w:pPr>
        <w:pStyle w:val="ListParagraph"/>
        <w:numPr>
          <w:ilvl w:val="0"/>
          <w:numId w:val="4"/>
        </w:numPr>
        <w:tabs>
          <w:tab w:val="left" w:pos="426"/>
        </w:tabs>
        <w:spacing w:before="100" w:beforeAutospacing="1" w:after="240"/>
        <w:ind w:left="425" w:hanging="425"/>
        <w:jc w:val="both"/>
        <w:rPr>
          <w:rFonts w:ascii="Arial" w:hAnsi="Arial" w:cs="Arial"/>
          <w:sz w:val="22"/>
          <w:szCs w:val="22"/>
          <w:lang w:val="en"/>
        </w:rPr>
      </w:pPr>
      <w:r w:rsidRPr="009069F1">
        <w:rPr>
          <w:rFonts w:ascii="Arial" w:hAnsi="Arial" w:cs="Arial"/>
          <w:sz w:val="22"/>
          <w:szCs w:val="22"/>
          <w:lang w:val="en"/>
        </w:rPr>
        <w:t>It is suggested that u</w:t>
      </w:r>
      <w:r w:rsidR="007D6DF4">
        <w:rPr>
          <w:rFonts w:ascii="Arial" w:hAnsi="Arial" w:cs="Arial"/>
          <w:sz w:val="22"/>
          <w:szCs w:val="22"/>
          <w:lang w:val="en"/>
        </w:rPr>
        <w:t xml:space="preserve">ntil the CIL receipts reach a </w:t>
      </w:r>
      <w:r w:rsidRPr="009069F1">
        <w:rPr>
          <w:rFonts w:ascii="Arial" w:hAnsi="Arial" w:cs="Arial"/>
          <w:sz w:val="22"/>
          <w:szCs w:val="22"/>
          <w:lang w:val="en"/>
        </w:rPr>
        <w:t>meaningful level that th</w:t>
      </w:r>
      <w:r w:rsidR="007D6DF4">
        <w:rPr>
          <w:rFonts w:ascii="Arial" w:hAnsi="Arial" w:cs="Arial"/>
          <w:sz w:val="22"/>
          <w:szCs w:val="22"/>
          <w:lang w:val="en"/>
        </w:rPr>
        <w:t xml:space="preserve">e Strategic Development </w:t>
      </w:r>
      <w:r w:rsidRPr="009069F1">
        <w:rPr>
          <w:rFonts w:ascii="Arial" w:hAnsi="Arial" w:cs="Arial"/>
          <w:sz w:val="22"/>
          <w:szCs w:val="22"/>
          <w:lang w:val="en"/>
        </w:rPr>
        <w:t>Board (</w:t>
      </w:r>
      <w:r w:rsidR="007D6DF4">
        <w:rPr>
          <w:rFonts w:ascii="Arial" w:hAnsi="Arial" w:cs="Arial"/>
          <w:sz w:val="22"/>
          <w:szCs w:val="22"/>
          <w:lang w:val="en"/>
        </w:rPr>
        <w:t>SDB)</w:t>
      </w:r>
      <w:r w:rsidRPr="009069F1">
        <w:rPr>
          <w:rFonts w:ascii="Arial" w:hAnsi="Arial" w:cs="Arial"/>
          <w:sz w:val="22"/>
          <w:szCs w:val="22"/>
          <w:lang w:val="en"/>
        </w:rPr>
        <w:t xml:space="preserve"> which comprises </w:t>
      </w:r>
      <w:r w:rsidR="007D6DF4">
        <w:rPr>
          <w:rFonts w:ascii="Arial" w:hAnsi="Arial" w:cs="Arial"/>
          <w:sz w:val="22"/>
          <w:szCs w:val="22"/>
          <w:lang w:val="en"/>
        </w:rPr>
        <w:t xml:space="preserve">of </w:t>
      </w:r>
      <w:r w:rsidRPr="009069F1">
        <w:rPr>
          <w:rFonts w:ascii="Arial" w:hAnsi="Arial" w:cs="Arial"/>
          <w:sz w:val="22"/>
          <w:szCs w:val="22"/>
          <w:lang w:val="en"/>
        </w:rPr>
        <w:t>the</w:t>
      </w:r>
      <w:r w:rsidR="007D6DF4">
        <w:rPr>
          <w:rFonts w:ascii="Arial" w:hAnsi="Arial" w:cs="Arial"/>
          <w:sz w:val="22"/>
          <w:szCs w:val="22"/>
          <w:lang w:val="en"/>
        </w:rPr>
        <w:t xml:space="preserve"> Leader of the Council, four A</w:t>
      </w:r>
      <w:r w:rsidRPr="009069F1">
        <w:rPr>
          <w:rFonts w:ascii="Arial" w:hAnsi="Arial" w:cs="Arial"/>
          <w:sz w:val="22"/>
          <w:szCs w:val="22"/>
          <w:lang w:val="en"/>
        </w:rPr>
        <w:t xml:space="preserve">rea Chairs </w:t>
      </w:r>
      <w:r w:rsidR="007D6DF4">
        <w:rPr>
          <w:rFonts w:ascii="Arial" w:hAnsi="Arial" w:cs="Arial"/>
          <w:sz w:val="22"/>
          <w:szCs w:val="22"/>
          <w:lang w:val="en"/>
        </w:rPr>
        <w:t>and relevant Portfolio Holders covering, Economy, Homes, Environment, Infrastructure, Spatial Planning and Development Management</w:t>
      </w:r>
      <w:r w:rsidRPr="009069F1">
        <w:rPr>
          <w:rFonts w:ascii="Arial" w:hAnsi="Arial" w:cs="Arial"/>
          <w:sz w:val="22"/>
          <w:szCs w:val="22"/>
          <w:lang w:val="en"/>
        </w:rPr>
        <w:t xml:space="preserve">  can monitor the CIL collection and formulate  with officers spending plans. It is further suggested that this is an appropriate group </w:t>
      </w:r>
      <w:r w:rsidR="00385223" w:rsidRPr="009069F1">
        <w:rPr>
          <w:rFonts w:ascii="Arial" w:hAnsi="Arial" w:cs="Arial"/>
          <w:sz w:val="22"/>
          <w:szCs w:val="22"/>
          <w:lang w:val="en"/>
        </w:rPr>
        <w:t>to consider</w:t>
      </w:r>
      <w:r w:rsidRPr="009069F1">
        <w:rPr>
          <w:rFonts w:ascii="Arial" w:hAnsi="Arial" w:cs="Arial"/>
          <w:sz w:val="22"/>
          <w:szCs w:val="22"/>
          <w:lang w:val="en"/>
        </w:rPr>
        <w:t xml:space="preserve"> the allocation of CIL receipts, against the Infrastructure Delivery Plan</w:t>
      </w:r>
      <w:r w:rsidR="00544EBC" w:rsidRPr="009069F1">
        <w:rPr>
          <w:rFonts w:ascii="Arial" w:hAnsi="Arial" w:cs="Arial"/>
          <w:sz w:val="22"/>
          <w:szCs w:val="22"/>
          <w:lang w:val="en"/>
        </w:rPr>
        <w:t xml:space="preserve">. </w:t>
      </w:r>
      <w:r w:rsidRPr="009069F1">
        <w:rPr>
          <w:rFonts w:ascii="Arial" w:hAnsi="Arial" w:cs="Arial"/>
          <w:sz w:val="22"/>
          <w:szCs w:val="22"/>
          <w:lang w:val="en"/>
        </w:rPr>
        <w:t xml:space="preserve"> A formal annual report can be made from this group</w:t>
      </w:r>
      <w:r w:rsidR="00385223" w:rsidRPr="009069F1">
        <w:rPr>
          <w:rFonts w:ascii="Arial" w:hAnsi="Arial" w:cs="Arial"/>
          <w:sz w:val="22"/>
          <w:szCs w:val="22"/>
          <w:lang w:val="en"/>
        </w:rPr>
        <w:t xml:space="preserve"> to District Executive Committee</w:t>
      </w:r>
      <w:r w:rsidR="008F31BB" w:rsidRPr="009069F1">
        <w:rPr>
          <w:rFonts w:ascii="Arial" w:hAnsi="Arial" w:cs="Arial"/>
          <w:sz w:val="22"/>
          <w:szCs w:val="22"/>
          <w:lang w:val="en"/>
        </w:rPr>
        <w:t xml:space="preserve">, to inform proposed priority schemes and overall funding proposals for these including CIL contributions – as part the annual capital </w:t>
      </w:r>
      <w:proofErr w:type="spellStart"/>
      <w:r w:rsidR="008F31BB" w:rsidRPr="009069F1">
        <w:rPr>
          <w:rFonts w:ascii="Arial" w:hAnsi="Arial" w:cs="Arial"/>
          <w:sz w:val="22"/>
          <w:szCs w:val="22"/>
          <w:lang w:val="en"/>
        </w:rPr>
        <w:t>programme</w:t>
      </w:r>
      <w:proofErr w:type="spellEnd"/>
      <w:r w:rsidR="008F31BB" w:rsidRPr="009069F1">
        <w:rPr>
          <w:rFonts w:ascii="Arial" w:hAnsi="Arial" w:cs="Arial"/>
          <w:sz w:val="22"/>
          <w:szCs w:val="22"/>
          <w:lang w:val="en"/>
        </w:rPr>
        <w:t xml:space="preserve"> budge</w:t>
      </w:r>
      <w:r w:rsidR="003E5BA8" w:rsidRPr="009069F1">
        <w:rPr>
          <w:rFonts w:ascii="Arial" w:hAnsi="Arial" w:cs="Arial"/>
          <w:sz w:val="22"/>
          <w:szCs w:val="22"/>
          <w:lang w:val="en"/>
        </w:rPr>
        <w:t>t</w:t>
      </w:r>
      <w:r w:rsidR="008F31BB" w:rsidRPr="009069F1">
        <w:rPr>
          <w:rFonts w:ascii="Arial" w:hAnsi="Arial" w:cs="Arial"/>
          <w:sz w:val="22"/>
          <w:szCs w:val="22"/>
          <w:lang w:val="en"/>
        </w:rPr>
        <w:t xml:space="preserve"> process.</w:t>
      </w:r>
      <w:r w:rsidR="00385223" w:rsidRPr="009069F1">
        <w:rPr>
          <w:rFonts w:ascii="Arial" w:hAnsi="Arial" w:cs="Arial"/>
          <w:sz w:val="22"/>
          <w:szCs w:val="22"/>
          <w:lang w:val="en"/>
        </w:rPr>
        <w:t xml:space="preserve"> </w:t>
      </w:r>
    </w:p>
    <w:p w:rsidR="009069F1" w:rsidRPr="009069F1" w:rsidRDefault="009069F1" w:rsidP="009069F1">
      <w:pPr>
        <w:pStyle w:val="ListParagraph"/>
        <w:rPr>
          <w:rFonts w:ascii="Arial" w:hAnsi="Arial" w:cs="Arial"/>
          <w:sz w:val="22"/>
          <w:szCs w:val="22"/>
          <w:lang w:val="en"/>
        </w:rPr>
      </w:pPr>
    </w:p>
    <w:p w:rsidR="00EB59ED" w:rsidRDefault="004B0444" w:rsidP="009069F1">
      <w:pPr>
        <w:pStyle w:val="ListParagraph"/>
        <w:numPr>
          <w:ilvl w:val="0"/>
          <w:numId w:val="4"/>
        </w:numPr>
        <w:tabs>
          <w:tab w:val="left" w:pos="426"/>
        </w:tabs>
        <w:autoSpaceDE w:val="0"/>
        <w:autoSpaceDN w:val="0"/>
        <w:adjustRightInd w:val="0"/>
        <w:spacing w:after="240"/>
        <w:ind w:left="425" w:hanging="425"/>
        <w:jc w:val="both"/>
        <w:rPr>
          <w:rFonts w:ascii="Arial" w:hAnsi="Arial" w:cs="Arial"/>
          <w:color w:val="000000"/>
          <w:sz w:val="22"/>
          <w:szCs w:val="22"/>
        </w:rPr>
      </w:pPr>
      <w:r w:rsidRPr="009069F1">
        <w:rPr>
          <w:rFonts w:ascii="Arial" w:hAnsi="Arial" w:cs="Arial"/>
          <w:color w:val="000000"/>
          <w:sz w:val="22"/>
          <w:szCs w:val="22"/>
        </w:rPr>
        <w:t>All allocations of Levy money will be made in response to the submission of applications to the District Council as charging body and decisions made subsequently by the Council. Applications will need to be made in accorda</w:t>
      </w:r>
      <w:r w:rsidR="00313E90" w:rsidRPr="009069F1">
        <w:rPr>
          <w:rFonts w:ascii="Arial" w:hAnsi="Arial" w:cs="Arial"/>
          <w:color w:val="000000"/>
          <w:sz w:val="22"/>
          <w:szCs w:val="22"/>
        </w:rPr>
        <w:t>nce with standardised formats, the final details of which will need to be agreed</w:t>
      </w:r>
      <w:r w:rsidRPr="009069F1">
        <w:rPr>
          <w:rFonts w:ascii="Arial" w:hAnsi="Arial" w:cs="Arial"/>
          <w:color w:val="000000"/>
          <w:sz w:val="22"/>
          <w:szCs w:val="22"/>
        </w:rPr>
        <w:t xml:space="preserve">. </w:t>
      </w:r>
    </w:p>
    <w:p w:rsidR="009069F1" w:rsidRPr="009069F1" w:rsidRDefault="009069F1" w:rsidP="009069F1">
      <w:pPr>
        <w:pStyle w:val="ListParagraph"/>
        <w:rPr>
          <w:rFonts w:ascii="Arial" w:hAnsi="Arial" w:cs="Arial"/>
          <w:color w:val="000000"/>
          <w:sz w:val="22"/>
          <w:szCs w:val="22"/>
        </w:rPr>
      </w:pPr>
    </w:p>
    <w:p w:rsidR="004B0444" w:rsidRDefault="004B0444" w:rsidP="009069F1">
      <w:pPr>
        <w:pStyle w:val="ListParagraph"/>
        <w:numPr>
          <w:ilvl w:val="0"/>
          <w:numId w:val="4"/>
        </w:numPr>
        <w:tabs>
          <w:tab w:val="left" w:pos="426"/>
        </w:tabs>
        <w:autoSpaceDE w:val="0"/>
        <w:autoSpaceDN w:val="0"/>
        <w:adjustRightInd w:val="0"/>
        <w:spacing w:after="240"/>
        <w:ind w:left="426" w:hanging="426"/>
        <w:jc w:val="both"/>
        <w:rPr>
          <w:rFonts w:ascii="Arial" w:hAnsi="Arial" w:cs="Arial"/>
          <w:color w:val="000000"/>
          <w:sz w:val="22"/>
          <w:szCs w:val="22"/>
        </w:rPr>
      </w:pPr>
      <w:r w:rsidRPr="009069F1">
        <w:rPr>
          <w:rFonts w:ascii="Arial" w:hAnsi="Arial" w:cs="Arial"/>
          <w:color w:val="000000"/>
          <w:sz w:val="22"/>
          <w:szCs w:val="22"/>
        </w:rPr>
        <w:t>To ensure the appropriate and timely delivery of projects, conditions will be attached to the allocation of CIL funding from the centralised pot to a Strategic or infrastructure requirement. The infrastructure provider who has secured CIL from the centralised pot will be required to enter into a grant agreement which will confirm the detail of conditions. The grant agreement will include a commitment to complete monitoring returns to the Council. These returns will form the basis of monitoring reports to the Joint Member/Officer Working group. When CIL funding is allocated to infrastructure provider, the CIL funding can only be used to deliver the agreed infrastructure type or project. As the Charging Authority, the Council will retain the right to recover CIL receipts that have been ‘misapplied’ or not spent within agreed timescales.</w:t>
      </w:r>
    </w:p>
    <w:p w:rsidR="00021A40" w:rsidRPr="00021A40" w:rsidRDefault="00021A40" w:rsidP="00021A40">
      <w:pPr>
        <w:pStyle w:val="ListParagraph"/>
        <w:rPr>
          <w:rFonts w:ascii="Arial" w:hAnsi="Arial" w:cs="Arial"/>
          <w:color w:val="000000"/>
          <w:sz w:val="22"/>
          <w:szCs w:val="22"/>
        </w:rPr>
      </w:pPr>
    </w:p>
    <w:p w:rsidR="00021A40" w:rsidRPr="00413DAD" w:rsidRDefault="00874102" w:rsidP="00413DAD">
      <w:pPr>
        <w:pStyle w:val="ListParagraph"/>
        <w:numPr>
          <w:ilvl w:val="0"/>
          <w:numId w:val="4"/>
        </w:numPr>
        <w:autoSpaceDE w:val="0"/>
        <w:autoSpaceDN w:val="0"/>
        <w:adjustRightInd w:val="0"/>
        <w:spacing w:after="240"/>
        <w:ind w:left="426" w:hanging="426"/>
        <w:jc w:val="both"/>
        <w:rPr>
          <w:rFonts w:ascii="Arial" w:hAnsi="Arial" w:cs="Arial"/>
          <w:color w:val="000000"/>
          <w:sz w:val="22"/>
          <w:szCs w:val="22"/>
        </w:rPr>
      </w:pPr>
      <w:r w:rsidRPr="009069F1">
        <w:rPr>
          <w:rFonts w:ascii="Arial" w:hAnsi="Arial" w:cs="Arial"/>
          <w:color w:val="000000"/>
          <w:sz w:val="22"/>
          <w:szCs w:val="22"/>
        </w:rPr>
        <w:lastRenderedPageBreak/>
        <w:t xml:space="preserve">There will be a transitional period between the new and old </w:t>
      </w:r>
      <w:r w:rsidR="00EF27E7" w:rsidRPr="009069F1">
        <w:rPr>
          <w:rFonts w:ascii="Arial" w:hAnsi="Arial" w:cs="Arial"/>
          <w:color w:val="000000"/>
          <w:sz w:val="22"/>
          <w:szCs w:val="22"/>
        </w:rPr>
        <w:t xml:space="preserve">S106 </w:t>
      </w:r>
      <w:r w:rsidRPr="009069F1">
        <w:rPr>
          <w:rFonts w:ascii="Arial" w:hAnsi="Arial" w:cs="Arial"/>
          <w:color w:val="000000"/>
          <w:sz w:val="22"/>
          <w:szCs w:val="22"/>
        </w:rPr>
        <w:t xml:space="preserve">systems of planning obligations and as such a constant flow of annual CIL receipts is not expected until sometime into the implementation period. It is therefore possible that the above CIL </w:t>
      </w:r>
      <w:r w:rsidR="00CF2CD2" w:rsidRPr="009069F1">
        <w:rPr>
          <w:rFonts w:ascii="Arial" w:hAnsi="Arial" w:cs="Arial"/>
          <w:color w:val="000000"/>
          <w:sz w:val="22"/>
          <w:szCs w:val="22"/>
        </w:rPr>
        <w:t>group</w:t>
      </w:r>
      <w:r w:rsidRPr="009069F1">
        <w:rPr>
          <w:rFonts w:ascii="Arial" w:hAnsi="Arial" w:cs="Arial"/>
          <w:color w:val="000000"/>
          <w:sz w:val="22"/>
          <w:szCs w:val="22"/>
        </w:rPr>
        <w:t xml:space="preserve"> will not need to meet or if so will not be called upon to make recommendations for a while. In any event allowing for a centralised pot to grow to meaningful levels enabling potential project allocations to be considered would make sense. Initial meetings therefore will likely involve explaining and agreeing procedure and offering an opportunity to updating members on the level of receipts received to date and progress with infrastructure generally across the District.</w:t>
      </w:r>
    </w:p>
    <w:p w:rsidR="00D34D2F" w:rsidRPr="00E716ED" w:rsidRDefault="00D34D2F" w:rsidP="0086455B">
      <w:pPr>
        <w:spacing w:before="100" w:beforeAutospacing="1" w:after="100" w:afterAutospacing="1"/>
        <w:jc w:val="both"/>
        <w:outlineLvl w:val="2"/>
        <w:rPr>
          <w:rFonts w:ascii="Arial" w:hAnsi="Arial" w:cs="Arial"/>
          <w:b/>
          <w:bCs/>
          <w:szCs w:val="22"/>
          <w:lang w:val="en"/>
        </w:rPr>
      </w:pPr>
      <w:r w:rsidRPr="00E716ED">
        <w:rPr>
          <w:rFonts w:ascii="Arial" w:hAnsi="Arial" w:cs="Arial"/>
          <w:b/>
          <w:bCs/>
          <w:szCs w:val="22"/>
          <w:lang w:val="en"/>
        </w:rPr>
        <w:t>How is payment of the Community Infrastructure Levy enforced?</w:t>
      </w:r>
    </w:p>
    <w:p w:rsidR="00D34D2F" w:rsidRDefault="00D34D2F" w:rsidP="00021A40">
      <w:pPr>
        <w:pStyle w:val="ListParagraph"/>
        <w:numPr>
          <w:ilvl w:val="0"/>
          <w:numId w:val="4"/>
        </w:numPr>
        <w:spacing w:before="100" w:beforeAutospacing="1" w:after="100" w:afterAutospacing="1"/>
        <w:ind w:left="426" w:hanging="426"/>
        <w:jc w:val="both"/>
        <w:rPr>
          <w:rFonts w:ascii="Arial" w:hAnsi="Arial" w:cs="Arial"/>
          <w:sz w:val="22"/>
          <w:szCs w:val="22"/>
          <w:lang w:val="en"/>
        </w:rPr>
      </w:pPr>
      <w:r w:rsidRPr="00021A40">
        <w:rPr>
          <w:rFonts w:ascii="Arial" w:hAnsi="Arial" w:cs="Arial"/>
          <w:sz w:val="22"/>
          <w:szCs w:val="22"/>
          <w:lang w:val="en"/>
        </w:rPr>
        <w:t>Almost all parties liable to pay the levy are likely to pay their liabilities without problem or delay, guided by the information sent by the collecting authority in the liability notice. However, where there are problems in collecting the levy, it is important that collecting authorities are able to penalise late payment and discourage future non-compliance.</w:t>
      </w:r>
    </w:p>
    <w:p w:rsidR="00021A40" w:rsidRPr="00021A40" w:rsidRDefault="00021A40" w:rsidP="00021A40">
      <w:pPr>
        <w:pStyle w:val="ListParagraph"/>
        <w:spacing w:before="100" w:beforeAutospacing="1" w:after="100" w:afterAutospacing="1"/>
        <w:ind w:left="426"/>
        <w:jc w:val="both"/>
        <w:rPr>
          <w:rFonts w:ascii="Arial" w:hAnsi="Arial" w:cs="Arial"/>
          <w:sz w:val="22"/>
          <w:szCs w:val="22"/>
          <w:lang w:val="en"/>
        </w:rPr>
      </w:pPr>
    </w:p>
    <w:p w:rsidR="00D34D2F" w:rsidRDefault="00D34D2F" w:rsidP="00021A40">
      <w:pPr>
        <w:pStyle w:val="ListParagraph"/>
        <w:numPr>
          <w:ilvl w:val="0"/>
          <w:numId w:val="4"/>
        </w:numPr>
        <w:spacing w:before="100" w:beforeAutospacing="1" w:after="240"/>
        <w:ind w:left="425" w:hanging="425"/>
        <w:jc w:val="both"/>
        <w:rPr>
          <w:rFonts w:ascii="Arial" w:hAnsi="Arial" w:cs="Arial"/>
          <w:sz w:val="22"/>
          <w:szCs w:val="22"/>
          <w:lang w:val="en"/>
        </w:rPr>
      </w:pPr>
      <w:r w:rsidRPr="00021A40">
        <w:rPr>
          <w:rFonts w:ascii="Arial" w:hAnsi="Arial" w:cs="Arial"/>
          <w:sz w:val="22"/>
          <w:szCs w:val="22"/>
          <w:lang w:val="en"/>
        </w:rPr>
        <w:t>The regulations provide for a range of proportionate enforcement measures, such as surcharges on late payments. In most cases, these measures should be sufficient.</w:t>
      </w:r>
    </w:p>
    <w:p w:rsidR="00021A40" w:rsidRPr="00021A40" w:rsidRDefault="00021A40" w:rsidP="00021A40">
      <w:pPr>
        <w:pStyle w:val="ListParagraph"/>
        <w:rPr>
          <w:rFonts w:ascii="Arial" w:hAnsi="Arial" w:cs="Arial"/>
          <w:sz w:val="22"/>
          <w:szCs w:val="22"/>
          <w:lang w:val="en"/>
        </w:rPr>
      </w:pPr>
    </w:p>
    <w:p w:rsidR="00843E4E" w:rsidRPr="00021A40" w:rsidRDefault="00D34D2F" w:rsidP="00021A40">
      <w:pPr>
        <w:pStyle w:val="ListParagraph"/>
        <w:numPr>
          <w:ilvl w:val="0"/>
          <w:numId w:val="4"/>
        </w:numPr>
        <w:spacing w:before="100" w:beforeAutospacing="1" w:after="100" w:afterAutospacing="1"/>
        <w:ind w:left="426" w:hanging="426"/>
        <w:jc w:val="both"/>
        <w:rPr>
          <w:rFonts w:ascii="Arial" w:hAnsi="Arial" w:cs="Arial"/>
          <w:sz w:val="22"/>
          <w:szCs w:val="22"/>
          <w:lang w:val="en"/>
        </w:rPr>
      </w:pPr>
      <w:r w:rsidRPr="00021A40">
        <w:rPr>
          <w:rFonts w:ascii="Arial" w:hAnsi="Arial" w:cs="Arial"/>
          <w:sz w:val="22"/>
          <w:szCs w:val="22"/>
          <w:lang w:val="en"/>
        </w:rPr>
        <w:t>In cases of persistent non-compliance, collecting authorities may take more direct action to recover the amount due. For example, a collecting authority may issue a Community Infrastructure Levy Stop Notice which prohibits development from continuing until payment is made and the stop notice is withdrawn</w:t>
      </w:r>
      <w:r w:rsidR="00CF3C9D" w:rsidRPr="00021A40">
        <w:rPr>
          <w:rFonts w:ascii="Arial" w:hAnsi="Arial" w:cs="Arial"/>
          <w:sz w:val="22"/>
          <w:szCs w:val="22"/>
          <w:lang w:val="en"/>
        </w:rPr>
        <w:t>.</w:t>
      </w:r>
    </w:p>
    <w:p w:rsidR="005E2F3B" w:rsidRPr="00E716ED" w:rsidRDefault="005E2F3B" w:rsidP="005E2F3B">
      <w:pPr>
        <w:spacing w:before="100" w:beforeAutospacing="1" w:after="100" w:afterAutospacing="1"/>
        <w:jc w:val="both"/>
        <w:rPr>
          <w:rFonts w:ascii="Arial" w:hAnsi="Arial" w:cs="Arial"/>
          <w:b/>
          <w:szCs w:val="22"/>
          <w:lang w:val="en"/>
        </w:rPr>
      </w:pPr>
      <w:r w:rsidRPr="00E716ED">
        <w:rPr>
          <w:rFonts w:ascii="Arial" w:hAnsi="Arial" w:cs="Arial"/>
          <w:b/>
          <w:szCs w:val="22"/>
          <w:lang w:val="en"/>
        </w:rPr>
        <w:t>Reporting</w:t>
      </w:r>
    </w:p>
    <w:p w:rsidR="005E2F3B" w:rsidRDefault="005E2F3B" w:rsidP="00021A40">
      <w:pPr>
        <w:pStyle w:val="ListParagraph"/>
        <w:numPr>
          <w:ilvl w:val="0"/>
          <w:numId w:val="4"/>
        </w:numPr>
        <w:spacing w:before="100" w:beforeAutospacing="1" w:after="100" w:afterAutospacing="1"/>
        <w:ind w:left="426" w:hanging="426"/>
        <w:jc w:val="both"/>
        <w:rPr>
          <w:rFonts w:ascii="Arial" w:hAnsi="Arial" w:cs="Arial"/>
          <w:sz w:val="22"/>
          <w:szCs w:val="22"/>
          <w:lang w:val="en"/>
        </w:rPr>
      </w:pPr>
      <w:r w:rsidRPr="00021A40">
        <w:rPr>
          <w:rFonts w:ascii="Arial" w:hAnsi="Arial" w:cs="Arial"/>
          <w:sz w:val="22"/>
          <w:szCs w:val="22"/>
          <w:lang w:val="en"/>
        </w:rPr>
        <w:t>Regular reporting on the progress and management of the CIL process will be combined with our existing S106 management and be delivered together to give a comprehensive picture of monies and infrastructure secured through planning obligations. This will ensure continued transparency and provide the latest position of monies collected through to delivery.</w:t>
      </w:r>
    </w:p>
    <w:p w:rsidR="000D5142" w:rsidRDefault="000D5142" w:rsidP="000D5142">
      <w:pPr>
        <w:spacing w:before="100" w:beforeAutospacing="1" w:after="100" w:afterAutospacing="1"/>
        <w:jc w:val="both"/>
        <w:rPr>
          <w:rFonts w:ascii="Arial" w:hAnsi="Arial" w:cs="Arial"/>
          <w:sz w:val="22"/>
          <w:szCs w:val="22"/>
          <w:lang w:val="en"/>
        </w:rPr>
      </w:pPr>
    </w:p>
    <w:p w:rsidR="000D5142" w:rsidRDefault="000D5142" w:rsidP="000D5142">
      <w:pPr>
        <w:spacing w:before="100" w:beforeAutospacing="1" w:after="100" w:afterAutospacing="1"/>
        <w:jc w:val="both"/>
        <w:rPr>
          <w:rFonts w:ascii="Arial" w:hAnsi="Arial" w:cs="Arial"/>
          <w:sz w:val="22"/>
          <w:szCs w:val="22"/>
          <w:lang w:val="en"/>
        </w:rPr>
      </w:pPr>
      <w:r>
        <w:rPr>
          <w:rFonts w:ascii="Arial" w:hAnsi="Arial" w:cs="Arial"/>
          <w:sz w:val="22"/>
          <w:szCs w:val="22"/>
          <w:lang w:val="en"/>
        </w:rPr>
        <w:t>Neil Waddleton</w:t>
      </w:r>
    </w:p>
    <w:p w:rsidR="000D5142" w:rsidRPr="000D5142" w:rsidRDefault="000D5142" w:rsidP="000D5142">
      <w:pPr>
        <w:spacing w:before="100" w:beforeAutospacing="1" w:after="100" w:afterAutospacing="1"/>
        <w:jc w:val="both"/>
        <w:rPr>
          <w:rFonts w:ascii="Arial" w:hAnsi="Arial" w:cs="Arial"/>
          <w:sz w:val="22"/>
          <w:szCs w:val="22"/>
          <w:lang w:val="en"/>
        </w:rPr>
      </w:pPr>
      <w:r>
        <w:rPr>
          <w:rFonts w:ascii="Arial" w:hAnsi="Arial" w:cs="Arial"/>
          <w:sz w:val="22"/>
          <w:szCs w:val="22"/>
          <w:lang w:val="en"/>
        </w:rPr>
        <w:t>7</w:t>
      </w:r>
      <w:r w:rsidRPr="000D5142">
        <w:rPr>
          <w:rFonts w:ascii="Arial" w:hAnsi="Arial" w:cs="Arial"/>
          <w:sz w:val="22"/>
          <w:szCs w:val="22"/>
          <w:vertAlign w:val="superscript"/>
          <w:lang w:val="en"/>
        </w:rPr>
        <w:t>th</w:t>
      </w:r>
      <w:r>
        <w:rPr>
          <w:rFonts w:ascii="Arial" w:hAnsi="Arial" w:cs="Arial"/>
          <w:sz w:val="22"/>
          <w:szCs w:val="22"/>
          <w:lang w:val="en"/>
        </w:rPr>
        <w:t xml:space="preserve"> September 2018</w:t>
      </w:r>
    </w:p>
    <w:sectPr w:rsidR="000D5142" w:rsidRPr="000D5142" w:rsidSect="00E716ED">
      <w:pgSz w:w="11906" w:h="16838"/>
      <w:pgMar w:top="1440" w:right="1416"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7E1D"/>
    <w:multiLevelType w:val="hybridMultilevel"/>
    <w:tmpl w:val="E1E0FD26"/>
    <w:lvl w:ilvl="0" w:tplc="4AE8F7D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05C8D"/>
    <w:multiLevelType w:val="hybridMultilevel"/>
    <w:tmpl w:val="ADCA97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27D22"/>
    <w:multiLevelType w:val="hybridMultilevel"/>
    <w:tmpl w:val="4E00E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4111DB"/>
    <w:multiLevelType w:val="hybridMultilevel"/>
    <w:tmpl w:val="8B1E6A4C"/>
    <w:lvl w:ilvl="0" w:tplc="01D0F4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8647C"/>
    <w:multiLevelType w:val="hybridMultilevel"/>
    <w:tmpl w:val="65C21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D4"/>
    <w:rsid w:val="000058DA"/>
    <w:rsid w:val="00021A40"/>
    <w:rsid w:val="00023FE2"/>
    <w:rsid w:val="000620C4"/>
    <w:rsid w:val="00066E38"/>
    <w:rsid w:val="000721C3"/>
    <w:rsid w:val="000A4A4C"/>
    <w:rsid w:val="000D5142"/>
    <w:rsid w:val="00104648"/>
    <w:rsid w:val="00111B49"/>
    <w:rsid w:val="0011752E"/>
    <w:rsid w:val="001455FE"/>
    <w:rsid w:val="001501D4"/>
    <w:rsid w:val="001537A2"/>
    <w:rsid w:val="001A2B1B"/>
    <w:rsid w:val="001A665F"/>
    <w:rsid w:val="001B52DE"/>
    <w:rsid w:val="001F7129"/>
    <w:rsid w:val="00202153"/>
    <w:rsid w:val="0023321C"/>
    <w:rsid w:val="002400ED"/>
    <w:rsid w:val="00240201"/>
    <w:rsid w:val="00251443"/>
    <w:rsid w:val="00290C63"/>
    <w:rsid w:val="002918FA"/>
    <w:rsid w:val="002942E8"/>
    <w:rsid w:val="002966C3"/>
    <w:rsid w:val="002C1CEC"/>
    <w:rsid w:val="002F2C3A"/>
    <w:rsid w:val="002F3117"/>
    <w:rsid w:val="002F6417"/>
    <w:rsid w:val="00313E90"/>
    <w:rsid w:val="003218CC"/>
    <w:rsid w:val="00365B91"/>
    <w:rsid w:val="00385223"/>
    <w:rsid w:val="003D5CB5"/>
    <w:rsid w:val="003E5BA8"/>
    <w:rsid w:val="00413DAD"/>
    <w:rsid w:val="0047126B"/>
    <w:rsid w:val="004A5B99"/>
    <w:rsid w:val="004B0444"/>
    <w:rsid w:val="004C3ACF"/>
    <w:rsid w:val="004F086E"/>
    <w:rsid w:val="004F2CA6"/>
    <w:rsid w:val="005116FE"/>
    <w:rsid w:val="0052046A"/>
    <w:rsid w:val="00532740"/>
    <w:rsid w:val="00544EBC"/>
    <w:rsid w:val="005769D8"/>
    <w:rsid w:val="00590385"/>
    <w:rsid w:val="005C3432"/>
    <w:rsid w:val="005D690F"/>
    <w:rsid w:val="005E2F3B"/>
    <w:rsid w:val="00617375"/>
    <w:rsid w:val="00635836"/>
    <w:rsid w:val="00643010"/>
    <w:rsid w:val="00643F8D"/>
    <w:rsid w:val="006745A0"/>
    <w:rsid w:val="00676011"/>
    <w:rsid w:val="00690890"/>
    <w:rsid w:val="00690BFE"/>
    <w:rsid w:val="006E0E59"/>
    <w:rsid w:val="006F39AD"/>
    <w:rsid w:val="007D6DF4"/>
    <w:rsid w:val="0080783E"/>
    <w:rsid w:val="00823EA7"/>
    <w:rsid w:val="00830A86"/>
    <w:rsid w:val="00830FE5"/>
    <w:rsid w:val="00831ADA"/>
    <w:rsid w:val="00843E4E"/>
    <w:rsid w:val="0086455B"/>
    <w:rsid w:val="008663D3"/>
    <w:rsid w:val="00872733"/>
    <w:rsid w:val="00874102"/>
    <w:rsid w:val="00877F58"/>
    <w:rsid w:val="008A3D33"/>
    <w:rsid w:val="008B68E8"/>
    <w:rsid w:val="008F31BB"/>
    <w:rsid w:val="009069F1"/>
    <w:rsid w:val="00956101"/>
    <w:rsid w:val="00963241"/>
    <w:rsid w:val="00997863"/>
    <w:rsid w:val="009B01A5"/>
    <w:rsid w:val="009B7AF1"/>
    <w:rsid w:val="009C6E03"/>
    <w:rsid w:val="009F2BC9"/>
    <w:rsid w:val="00A00627"/>
    <w:rsid w:val="00A173D6"/>
    <w:rsid w:val="00A26999"/>
    <w:rsid w:val="00A50B33"/>
    <w:rsid w:val="00A6524D"/>
    <w:rsid w:val="00AC4A7F"/>
    <w:rsid w:val="00AD11CB"/>
    <w:rsid w:val="00AD63EB"/>
    <w:rsid w:val="00AF7522"/>
    <w:rsid w:val="00B038CE"/>
    <w:rsid w:val="00B700E2"/>
    <w:rsid w:val="00B95AB7"/>
    <w:rsid w:val="00BF7CEF"/>
    <w:rsid w:val="00C3563A"/>
    <w:rsid w:val="00C50F18"/>
    <w:rsid w:val="00C72551"/>
    <w:rsid w:val="00CA27D2"/>
    <w:rsid w:val="00CB77E9"/>
    <w:rsid w:val="00CF2CD2"/>
    <w:rsid w:val="00CF3C9D"/>
    <w:rsid w:val="00D11645"/>
    <w:rsid w:val="00D34D2F"/>
    <w:rsid w:val="00D45BE4"/>
    <w:rsid w:val="00D51856"/>
    <w:rsid w:val="00D526A1"/>
    <w:rsid w:val="00D67183"/>
    <w:rsid w:val="00D76D26"/>
    <w:rsid w:val="00DC1AC7"/>
    <w:rsid w:val="00DF27EE"/>
    <w:rsid w:val="00E32512"/>
    <w:rsid w:val="00E40275"/>
    <w:rsid w:val="00E44F42"/>
    <w:rsid w:val="00E716ED"/>
    <w:rsid w:val="00E7298A"/>
    <w:rsid w:val="00EB1FA6"/>
    <w:rsid w:val="00EB59ED"/>
    <w:rsid w:val="00EF27E7"/>
    <w:rsid w:val="00F35F45"/>
    <w:rsid w:val="00F62D0A"/>
    <w:rsid w:val="00F6481A"/>
    <w:rsid w:val="00FA0219"/>
    <w:rsid w:val="00FA30EB"/>
    <w:rsid w:val="00FB70E1"/>
    <w:rsid w:val="00FD15D5"/>
    <w:rsid w:val="00FD79BC"/>
    <w:rsid w:val="00FE0362"/>
    <w:rsid w:val="00FE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1B7DB"/>
  <w15:docId w15:val="{923FD7BD-6B2D-4851-9231-95B839C4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D2F"/>
    <w:pPr>
      <w:spacing w:before="100" w:beforeAutospacing="1" w:after="100" w:afterAutospacing="1"/>
    </w:pPr>
  </w:style>
  <w:style w:type="character" w:styleId="Hyperlink">
    <w:name w:val="Hyperlink"/>
    <w:basedOn w:val="DefaultParagraphFont"/>
    <w:uiPriority w:val="99"/>
    <w:unhideWhenUsed/>
    <w:rsid w:val="00D34D2F"/>
    <w:rPr>
      <w:color w:val="0000FF"/>
      <w:u w:val="single"/>
    </w:rPr>
  </w:style>
  <w:style w:type="paragraph" w:styleId="ListParagraph">
    <w:name w:val="List Paragraph"/>
    <w:basedOn w:val="Normal"/>
    <w:uiPriority w:val="34"/>
    <w:qFormat/>
    <w:rsid w:val="00B700E2"/>
    <w:pPr>
      <w:ind w:left="720"/>
      <w:contextualSpacing/>
    </w:pPr>
  </w:style>
  <w:style w:type="table" w:styleId="TableGrid">
    <w:name w:val="Table Grid"/>
    <w:basedOn w:val="TableNormal"/>
    <w:rsid w:val="00A0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6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481A"/>
    <w:rPr>
      <w:rFonts w:ascii="Tahoma" w:hAnsi="Tahoma" w:cs="Tahoma"/>
      <w:sz w:val="16"/>
      <w:szCs w:val="16"/>
    </w:rPr>
  </w:style>
  <w:style w:type="character" w:customStyle="1" w:styleId="BalloonTextChar">
    <w:name w:val="Balloon Text Char"/>
    <w:basedOn w:val="DefaultParagraphFont"/>
    <w:link w:val="BalloonText"/>
    <w:rsid w:val="00F6481A"/>
    <w:rPr>
      <w:rFonts w:ascii="Tahoma" w:hAnsi="Tahoma" w:cs="Tahoma"/>
      <w:sz w:val="16"/>
      <w:szCs w:val="16"/>
    </w:rPr>
  </w:style>
  <w:style w:type="character" w:styleId="CommentReference">
    <w:name w:val="annotation reference"/>
    <w:basedOn w:val="DefaultParagraphFont"/>
    <w:rsid w:val="00EF27E7"/>
    <w:rPr>
      <w:sz w:val="16"/>
      <w:szCs w:val="16"/>
    </w:rPr>
  </w:style>
  <w:style w:type="paragraph" w:styleId="CommentText">
    <w:name w:val="annotation text"/>
    <w:basedOn w:val="Normal"/>
    <w:link w:val="CommentTextChar"/>
    <w:rsid w:val="00EF27E7"/>
    <w:rPr>
      <w:sz w:val="20"/>
      <w:szCs w:val="20"/>
    </w:rPr>
  </w:style>
  <w:style w:type="character" w:customStyle="1" w:styleId="CommentTextChar">
    <w:name w:val="Comment Text Char"/>
    <w:basedOn w:val="DefaultParagraphFont"/>
    <w:link w:val="CommentText"/>
    <w:rsid w:val="00EF27E7"/>
  </w:style>
  <w:style w:type="paragraph" w:styleId="CommentSubject">
    <w:name w:val="annotation subject"/>
    <w:basedOn w:val="CommentText"/>
    <w:next w:val="CommentText"/>
    <w:link w:val="CommentSubjectChar"/>
    <w:rsid w:val="00EF27E7"/>
    <w:rPr>
      <w:b/>
      <w:bCs/>
    </w:rPr>
  </w:style>
  <w:style w:type="character" w:customStyle="1" w:styleId="CommentSubjectChar">
    <w:name w:val="Comment Subject Char"/>
    <w:basedOn w:val="CommentTextChar"/>
    <w:link w:val="CommentSubject"/>
    <w:rsid w:val="00EF2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68690">
      <w:bodyDiv w:val="1"/>
      <w:marLeft w:val="0"/>
      <w:marRight w:val="0"/>
      <w:marTop w:val="0"/>
      <w:marBottom w:val="0"/>
      <w:divBdr>
        <w:top w:val="none" w:sz="0" w:space="0" w:color="auto"/>
        <w:left w:val="none" w:sz="0" w:space="0" w:color="auto"/>
        <w:bottom w:val="none" w:sz="0" w:space="0" w:color="auto"/>
        <w:right w:val="none" w:sz="0" w:space="0" w:color="auto"/>
      </w:divBdr>
    </w:div>
    <w:div w:id="351615990">
      <w:bodyDiv w:val="1"/>
      <w:marLeft w:val="0"/>
      <w:marRight w:val="0"/>
      <w:marTop w:val="0"/>
      <w:marBottom w:val="0"/>
      <w:divBdr>
        <w:top w:val="none" w:sz="0" w:space="0" w:color="auto"/>
        <w:left w:val="none" w:sz="0" w:space="0" w:color="auto"/>
        <w:bottom w:val="none" w:sz="0" w:space="0" w:color="auto"/>
        <w:right w:val="none" w:sz="0" w:space="0" w:color="auto"/>
      </w:divBdr>
      <w:divsChild>
        <w:div w:id="22293634">
          <w:marLeft w:val="0"/>
          <w:marRight w:val="0"/>
          <w:marTop w:val="0"/>
          <w:marBottom w:val="0"/>
          <w:divBdr>
            <w:top w:val="none" w:sz="0" w:space="0" w:color="auto"/>
            <w:left w:val="none" w:sz="0" w:space="0" w:color="auto"/>
            <w:bottom w:val="none" w:sz="0" w:space="0" w:color="auto"/>
            <w:right w:val="none" w:sz="0" w:space="0" w:color="auto"/>
          </w:divBdr>
          <w:divsChild>
            <w:div w:id="574900312">
              <w:marLeft w:val="0"/>
              <w:marRight w:val="0"/>
              <w:marTop w:val="0"/>
              <w:marBottom w:val="0"/>
              <w:divBdr>
                <w:top w:val="none" w:sz="0" w:space="0" w:color="auto"/>
                <w:left w:val="none" w:sz="0" w:space="0" w:color="auto"/>
                <w:bottom w:val="none" w:sz="0" w:space="0" w:color="auto"/>
                <w:right w:val="none" w:sz="0" w:space="0" w:color="auto"/>
              </w:divBdr>
              <w:divsChild>
                <w:div w:id="361983401">
                  <w:marLeft w:val="0"/>
                  <w:marRight w:val="0"/>
                  <w:marTop w:val="0"/>
                  <w:marBottom w:val="0"/>
                  <w:divBdr>
                    <w:top w:val="none" w:sz="0" w:space="0" w:color="auto"/>
                    <w:left w:val="none" w:sz="0" w:space="0" w:color="auto"/>
                    <w:bottom w:val="none" w:sz="0" w:space="0" w:color="auto"/>
                    <w:right w:val="none" w:sz="0" w:space="0" w:color="auto"/>
                  </w:divBdr>
                  <w:divsChild>
                    <w:div w:id="1749378439">
                      <w:marLeft w:val="0"/>
                      <w:marRight w:val="0"/>
                      <w:marTop w:val="0"/>
                      <w:marBottom w:val="0"/>
                      <w:divBdr>
                        <w:top w:val="none" w:sz="0" w:space="0" w:color="auto"/>
                        <w:left w:val="none" w:sz="0" w:space="0" w:color="auto"/>
                        <w:bottom w:val="none" w:sz="0" w:space="0" w:color="auto"/>
                        <w:right w:val="none" w:sz="0" w:space="0" w:color="auto"/>
                      </w:divBdr>
                      <w:divsChild>
                        <w:div w:id="10679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4846">
      <w:bodyDiv w:val="1"/>
      <w:marLeft w:val="0"/>
      <w:marRight w:val="0"/>
      <w:marTop w:val="0"/>
      <w:marBottom w:val="0"/>
      <w:divBdr>
        <w:top w:val="none" w:sz="0" w:space="0" w:color="auto"/>
        <w:left w:val="none" w:sz="0" w:space="0" w:color="auto"/>
        <w:bottom w:val="none" w:sz="0" w:space="0" w:color="auto"/>
        <w:right w:val="none" w:sz="0" w:space="0" w:color="auto"/>
      </w:divBdr>
    </w:div>
    <w:div w:id="10114483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607">
          <w:marLeft w:val="0"/>
          <w:marRight w:val="0"/>
          <w:marTop w:val="0"/>
          <w:marBottom w:val="0"/>
          <w:divBdr>
            <w:top w:val="none" w:sz="0" w:space="0" w:color="auto"/>
            <w:left w:val="none" w:sz="0" w:space="0" w:color="auto"/>
            <w:bottom w:val="none" w:sz="0" w:space="0" w:color="auto"/>
            <w:right w:val="none" w:sz="0" w:space="0" w:color="auto"/>
          </w:divBdr>
          <w:divsChild>
            <w:div w:id="1489856362">
              <w:marLeft w:val="0"/>
              <w:marRight w:val="0"/>
              <w:marTop w:val="0"/>
              <w:marBottom w:val="0"/>
              <w:divBdr>
                <w:top w:val="none" w:sz="0" w:space="0" w:color="auto"/>
                <w:left w:val="none" w:sz="0" w:space="0" w:color="auto"/>
                <w:bottom w:val="none" w:sz="0" w:space="0" w:color="auto"/>
                <w:right w:val="none" w:sz="0" w:space="0" w:color="auto"/>
              </w:divBdr>
              <w:divsChild>
                <w:div w:id="1348211205">
                  <w:marLeft w:val="0"/>
                  <w:marRight w:val="0"/>
                  <w:marTop w:val="0"/>
                  <w:marBottom w:val="0"/>
                  <w:divBdr>
                    <w:top w:val="none" w:sz="0" w:space="0" w:color="auto"/>
                    <w:left w:val="none" w:sz="0" w:space="0" w:color="auto"/>
                    <w:bottom w:val="none" w:sz="0" w:space="0" w:color="auto"/>
                    <w:right w:val="none" w:sz="0" w:space="0" w:color="auto"/>
                  </w:divBdr>
                  <w:divsChild>
                    <w:div w:id="500704007">
                      <w:marLeft w:val="0"/>
                      <w:marRight w:val="0"/>
                      <w:marTop w:val="0"/>
                      <w:marBottom w:val="0"/>
                      <w:divBdr>
                        <w:top w:val="none" w:sz="0" w:space="0" w:color="auto"/>
                        <w:left w:val="none" w:sz="0" w:space="0" w:color="auto"/>
                        <w:bottom w:val="none" w:sz="0" w:space="0" w:color="auto"/>
                        <w:right w:val="none" w:sz="0" w:space="0" w:color="auto"/>
                      </w:divBdr>
                      <w:divsChild>
                        <w:div w:id="14459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07220">
      <w:bodyDiv w:val="1"/>
      <w:marLeft w:val="0"/>
      <w:marRight w:val="0"/>
      <w:marTop w:val="0"/>
      <w:marBottom w:val="0"/>
      <w:divBdr>
        <w:top w:val="none" w:sz="0" w:space="0" w:color="auto"/>
        <w:left w:val="none" w:sz="0" w:space="0" w:color="auto"/>
        <w:bottom w:val="none" w:sz="0" w:space="0" w:color="auto"/>
        <w:right w:val="none" w:sz="0" w:space="0" w:color="auto"/>
      </w:divBdr>
      <w:divsChild>
        <w:div w:id="909390343">
          <w:marLeft w:val="0"/>
          <w:marRight w:val="0"/>
          <w:marTop w:val="0"/>
          <w:marBottom w:val="0"/>
          <w:divBdr>
            <w:top w:val="none" w:sz="0" w:space="0" w:color="auto"/>
            <w:left w:val="none" w:sz="0" w:space="0" w:color="auto"/>
            <w:bottom w:val="none" w:sz="0" w:space="0" w:color="auto"/>
            <w:right w:val="none" w:sz="0" w:space="0" w:color="auto"/>
          </w:divBdr>
          <w:divsChild>
            <w:div w:id="1823619761">
              <w:marLeft w:val="0"/>
              <w:marRight w:val="0"/>
              <w:marTop w:val="0"/>
              <w:marBottom w:val="0"/>
              <w:divBdr>
                <w:top w:val="none" w:sz="0" w:space="0" w:color="auto"/>
                <w:left w:val="none" w:sz="0" w:space="0" w:color="auto"/>
                <w:bottom w:val="none" w:sz="0" w:space="0" w:color="auto"/>
                <w:right w:val="none" w:sz="0" w:space="0" w:color="auto"/>
              </w:divBdr>
              <w:divsChild>
                <w:div w:id="576524282">
                  <w:marLeft w:val="0"/>
                  <w:marRight w:val="0"/>
                  <w:marTop w:val="0"/>
                  <w:marBottom w:val="0"/>
                  <w:divBdr>
                    <w:top w:val="none" w:sz="0" w:space="0" w:color="auto"/>
                    <w:left w:val="none" w:sz="0" w:space="0" w:color="auto"/>
                    <w:bottom w:val="none" w:sz="0" w:space="0" w:color="auto"/>
                    <w:right w:val="none" w:sz="0" w:space="0" w:color="auto"/>
                  </w:divBdr>
                  <w:divsChild>
                    <w:div w:id="506945327">
                      <w:marLeft w:val="0"/>
                      <w:marRight w:val="0"/>
                      <w:marTop w:val="0"/>
                      <w:marBottom w:val="0"/>
                      <w:divBdr>
                        <w:top w:val="none" w:sz="0" w:space="0" w:color="auto"/>
                        <w:left w:val="none" w:sz="0" w:space="0" w:color="auto"/>
                        <w:bottom w:val="none" w:sz="0" w:space="0" w:color="auto"/>
                        <w:right w:val="none" w:sz="0" w:space="0" w:color="auto"/>
                      </w:divBdr>
                      <w:divsChild>
                        <w:div w:id="14739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59E6-592C-4409-AE55-F89FF05A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Norris</dc:creator>
  <cp:lastModifiedBy>Neil Waddleton</cp:lastModifiedBy>
  <cp:revision>26</cp:revision>
  <cp:lastPrinted>2018-09-07T08:04:00Z</cp:lastPrinted>
  <dcterms:created xsi:type="dcterms:W3CDTF">2018-09-07T10:22:00Z</dcterms:created>
  <dcterms:modified xsi:type="dcterms:W3CDTF">2018-09-13T09:55:00Z</dcterms:modified>
</cp:coreProperties>
</file>