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830" w:rsidRDefault="000D61DA">
      <w:pPr>
        <w:rPr>
          <w:rFonts w:ascii="Arial" w:hAnsi="Arial" w:cs="Arial"/>
          <w:b/>
        </w:rPr>
      </w:pPr>
      <w:r w:rsidRPr="000D61DA">
        <w:rPr>
          <w:rFonts w:ascii="Arial" w:hAnsi="Arial" w:cs="Arial"/>
          <w:b/>
        </w:rPr>
        <w:t>Wincanton Neighbourhood Plan Submission</w:t>
      </w:r>
    </w:p>
    <w:p w:rsidR="000D61DA" w:rsidRDefault="000D61DA">
      <w:pPr>
        <w:rPr>
          <w:rFonts w:ascii="Arial" w:hAnsi="Arial" w:cs="Arial"/>
          <w:b/>
        </w:rPr>
      </w:pPr>
      <w:r>
        <w:rPr>
          <w:rFonts w:ascii="Arial" w:hAnsi="Arial" w:cs="Arial"/>
          <w:b/>
        </w:rPr>
        <w:t>South Somerset District Council Comments</w:t>
      </w:r>
    </w:p>
    <w:p w:rsidR="000D61DA" w:rsidRDefault="000D61DA">
      <w:pPr>
        <w:rPr>
          <w:rFonts w:ascii="Arial" w:hAnsi="Arial" w:cs="Arial"/>
          <w:b/>
          <w:sz w:val="20"/>
          <w:szCs w:val="20"/>
        </w:rPr>
      </w:pPr>
      <w:r w:rsidRPr="000D61DA">
        <w:rPr>
          <w:rFonts w:ascii="Arial" w:hAnsi="Arial" w:cs="Arial"/>
          <w:b/>
          <w:sz w:val="20"/>
          <w:szCs w:val="20"/>
        </w:rPr>
        <w:t>Spatial Policy Team: June 2017</w:t>
      </w:r>
    </w:p>
    <w:tbl>
      <w:tblPr>
        <w:tblStyle w:val="TableGrid"/>
        <w:tblW w:w="0" w:type="auto"/>
        <w:tblLook w:val="04A0" w:firstRow="1" w:lastRow="0" w:firstColumn="1" w:lastColumn="0" w:noHBand="0" w:noVBand="1"/>
      </w:tblPr>
      <w:tblGrid>
        <w:gridCol w:w="3085"/>
        <w:gridCol w:w="11089"/>
      </w:tblGrid>
      <w:tr w:rsidR="000D61DA" w:rsidTr="000D61DA">
        <w:tc>
          <w:tcPr>
            <w:tcW w:w="3085" w:type="dxa"/>
            <w:shd w:val="clear" w:color="auto" w:fill="C2D69B" w:themeFill="accent3" w:themeFillTint="99"/>
          </w:tcPr>
          <w:p w:rsidR="000D61DA" w:rsidRDefault="000D61DA">
            <w:pPr>
              <w:rPr>
                <w:rFonts w:ascii="Arial" w:hAnsi="Arial" w:cs="Arial"/>
                <w:b/>
                <w:sz w:val="20"/>
                <w:szCs w:val="20"/>
              </w:rPr>
            </w:pPr>
            <w:r>
              <w:rPr>
                <w:rFonts w:ascii="Arial" w:hAnsi="Arial" w:cs="Arial"/>
                <w:b/>
                <w:sz w:val="20"/>
                <w:szCs w:val="20"/>
              </w:rPr>
              <w:t>Section/ Page/ Policy</w:t>
            </w:r>
          </w:p>
          <w:p w:rsidR="000D61DA" w:rsidRDefault="000D61DA">
            <w:pPr>
              <w:rPr>
                <w:rFonts w:ascii="Arial" w:hAnsi="Arial" w:cs="Arial"/>
                <w:b/>
                <w:sz w:val="20"/>
                <w:szCs w:val="20"/>
              </w:rPr>
            </w:pPr>
          </w:p>
          <w:p w:rsidR="000D61DA" w:rsidRDefault="000D61DA">
            <w:pPr>
              <w:rPr>
                <w:rFonts w:ascii="Arial" w:hAnsi="Arial" w:cs="Arial"/>
                <w:b/>
                <w:sz w:val="20"/>
                <w:szCs w:val="20"/>
              </w:rPr>
            </w:pPr>
          </w:p>
        </w:tc>
        <w:tc>
          <w:tcPr>
            <w:tcW w:w="11089" w:type="dxa"/>
            <w:shd w:val="clear" w:color="auto" w:fill="C2D69B" w:themeFill="accent3" w:themeFillTint="99"/>
          </w:tcPr>
          <w:p w:rsidR="000D61DA" w:rsidRDefault="000D61DA" w:rsidP="000D61DA">
            <w:pPr>
              <w:rPr>
                <w:rFonts w:ascii="Arial" w:hAnsi="Arial" w:cs="Arial"/>
                <w:b/>
                <w:sz w:val="20"/>
                <w:szCs w:val="20"/>
              </w:rPr>
            </w:pPr>
            <w:r>
              <w:rPr>
                <w:rFonts w:ascii="Arial" w:hAnsi="Arial" w:cs="Arial"/>
                <w:b/>
                <w:sz w:val="20"/>
                <w:szCs w:val="20"/>
              </w:rPr>
              <w:t>SSDC Comments</w:t>
            </w:r>
          </w:p>
        </w:tc>
      </w:tr>
      <w:tr w:rsidR="000D61DA" w:rsidTr="000D61DA">
        <w:tc>
          <w:tcPr>
            <w:tcW w:w="3085" w:type="dxa"/>
          </w:tcPr>
          <w:p w:rsidR="000D61DA" w:rsidRPr="00250BA3" w:rsidRDefault="00250BA3">
            <w:pPr>
              <w:rPr>
                <w:rFonts w:ascii="Arial" w:hAnsi="Arial" w:cs="Arial"/>
                <w:sz w:val="20"/>
                <w:szCs w:val="20"/>
              </w:rPr>
            </w:pPr>
            <w:r w:rsidRPr="00250BA3">
              <w:rPr>
                <w:rFonts w:ascii="Arial" w:hAnsi="Arial" w:cs="Arial"/>
                <w:sz w:val="20"/>
                <w:szCs w:val="20"/>
              </w:rPr>
              <w:t>Section 2.3 – Planning Context</w:t>
            </w:r>
          </w:p>
        </w:tc>
        <w:tc>
          <w:tcPr>
            <w:tcW w:w="11089" w:type="dxa"/>
          </w:tcPr>
          <w:p w:rsidR="000D61DA" w:rsidRDefault="00250BA3">
            <w:pPr>
              <w:rPr>
                <w:rFonts w:ascii="Arial" w:hAnsi="Arial" w:cs="Arial"/>
                <w:sz w:val="20"/>
                <w:szCs w:val="20"/>
              </w:rPr>
            </w:pPr>
            <w:r>
              <w:rPr>
                <w:rFonts w:ascii="Arial" w:hAnsi="Arial" w:cs="Arial"/>
                <w:sz w:val="20"/>
                <w:szCs w:val="20"/>
              </w:rPr>
              <w:t>It would be useful to reference the relevant Local Plan policies ie. SS1, SS3 and SS5.</w:t>
            </w:r>
          </w:p>
          <w:p w:rsidR="00250BA3" w:rsidRPr="00250BA3" w:rsidRDefault="00250BA3">
            <w:pPr>
              <w:rPr>
                <w:rFonts w:ascii="Arial" w:hAnsi="Arial" w:cs="Arial"/>
                <w:sz w:val="20"/>
                <w:szCs w:val="20"/>
              </w:rPr>
            </w:pPr>
          </w:p>
        </w:tc>
      </w:tr>
      <w:tr w:rsidR="000D61DA" w:rsidTr="000D61DA">
        <w:tc>
          <w:tcPr>
            <w:tcW w:w="3085" w:type="dxa"/>
          </w:tcPr>
          <w:p w:rsidR="000D61DA" w:rsidRPr="00250BA3" w:rsidRDefault="00A06779">
            <w:pPr>
              <w:rPr>
                <w:rFonts w:ascii="Arial" w:hAnsi="Arial" w:cs="Arial"/>
                <w:sz w:val="20"/>
                <w:szCs w:val="20"/>
              </w:rPr>
            </w:pPr>
            <w:r>
              <w:rPr>
                <w:rFonts w:ascii="Arial" w:hAnsi="Arial" w:cs="Arial"/>
                <w:sz w:val="20"/>
                <w:szCs w:val="20"/>
              </w:rPr>
              <w:t>Section 5 –</w:t>
            </w:r>
            <w:r w:rsidR="00122704">
              <w:rPr>
                <w:rFonts w:ascii="Arial" w:hAnsi="Arial" w:cs="Arial"/>
                <w:sz w:val="20"/>
                <w:szCs w:val="20"/>
              </w:rPr>
              <w:t xml:space="preserve"> P</w:t>
            </w:r>
            <w:r>
              <w:rPr>
                <w:rFonts w:ascii="Arial" w:hAnsi="Arial" w:cs="Arial"/>
                <w:sz w:val="20"/>
                <w:szCs w:val="20"/>
              </w:rPr>
              <w:t>age 10 (5.3)</w:t>
            </w:r>
          </w:p>
        </w:tc>
        <w:tc>
          <w:tcPr>
            <w:tcW w:w="11089" w:type="dxa"/>
          </w:tcPr>
          <w:p w:rsidR="000D61DA" w:rsidRDefault="002B6D1F">
            <w:pPr>
              <w:rPr>
                <w:rFonts w:ascii="Arial" w:hAnsi="Arial" w:cs="Arial"/>
                <w:sz w:val="20"/>
                <w:szCs w:val="20"/>
              </w:rPr>
            </w:pPr>
            <w:r>
              <w:rPr>
                <w:rFonts w:ascii="Arial" w:hAnsi="Arial" w:cs="Arial"/>
                <w:sz w:val="20"/>
                <w:szCs w:val="20"/>
              </w:rPr>
              <w:t xml:space="preserve">It is not clear that the organisations listed in the table have been consulted or agreed with the aims. </w:t>
            </w:r>
          </w:p>
          <w:p w:rsidR="002B6D1F" w:rsidRDefault="002B6D1F" w:rsidP="002B6D1F">
            <w:pPr>
              <w:rPr>
                <w:rFonts w:ascii="Arial" w:hAnsi="Arial" w:cs="Arial"/>
                <w:sz w:val="20"/>
                <w:szCs w:val="20"/>
              </w:rPr>
            </w:pPr>
            <w:r>
              <w:rPr>
                <w:rFonts w:ascii="Arial" w:hAnsi="Arial" w:cs="Arial"/>
                <w:sz w:val="20"/>
                <w:szCs w:val="20"/>
              </w:rPr>
              <w:t xml:space="preserve">Could other organisations be added? </w:t>
            </w:r>
            <w:r w:rsidR="00A94B98">
              <w:rPr>
                <w:rFonts w:ascii="Arial" w:hAnsi="Arial" w:cs="Arial"/>
                <w:sz w:val="20"/>
                <w:szCs w:val="20"/>
              </w:rPr>
              <w:t>For example,</w:t>
            </w:r>
            <w:bookmarkStart w:id="0" w:name="_GoBack"/>
            <w:bookmarkEnd w:id="0"/>
            <w:r>
              <w:rPr>
                <w:rFonts w:ascii="Arial" w:hAnsi="Arial" w:cs="Arial"/>
                <w:sz w:val="20"/>
                <w:szCs w:val="20"/>
              </w:rPr>
              <w:t xml:space="preserve"> Protecting Wincanton Community Hospital – add Friends of Community Hospital; </w:t>
            </w:r>
          </w:p>
          <w:p w:rsidR="002B6D1F" w:rsidRDefault="002B6D1F" w:rsidP="002B6D1F">
            <w:pPr>
              <w:rPr>
                <w:rFonts w:ascii="Arial" w:hAnsi="Arial" w:cs="Arial"/>
                <w:sz w:val="20"/>
                <w:szCs w:val="20"/>
              </w:rPr>
            </w:pPr>
            <w:r>
              <w:rPr>
                <w:rFonts w:ascii="Arial" w:hAnsi="Arial" w:cs="Arial"/>
                <w:sz w:val="20"/>
                <w:szCs w:val="20"/>
              </w:rPr>
              <w:t>Improving Primary Care – add Friends of Community Hospital and Balsam Centre; Town Centre Development – should the Chamber of Commerce, or Wincanton Business Together be involved?</w:t>
            </w:r>
          </w:p>
          <w:p w:rsidR="00781145" w:rsidRPr="00250BA3" w:rsidRDefault="00781145" w:rsidP="002B6D1F">
            <w:pPr>
              <w:rPr>
                <w:rFonts w:ascii="Arial" w:hAnsi="Arial" w:cs="Arial"/>
                <w:sz w:val="20"/>
                <w:szCs w:val="20"/>
              </w:rPr>
            </w:pPr>
          </w:p>
        </w:tc>
      </w:tr>
      <w:tr w:rsidR="000D61DA" w:rsidTr="000D61DA">
        <w:tc>
          <w:tcPr>
            <w:tcW w:w="3085" w:type="dxa"/>
          </w:tcPr>
          <w:p w:rsidR="00122704" w:rsidRDefault="00122704">
            <w:pPr>
              <w:rPr>
                <w:rFonts w:ascii="Arial" w:hAnsi="Arial" w:cs="Arial"/>
                <w:sz w:val="20"/>
                <w:szCs w:val="20"/>
              </w:rPr>
            </w:pPr>
            <w:r>
              <w:rPr>
                <w:rFonts w:ascii="Arial" w:hAnsi="Arial" w:cs="Arial"/>
                <w:sz w:val="20"/>
                <w:szCs w:val="20"/>
              </w:rPr>
              <w:t xml:space="preserve">Section 6 – Housing </w:t>
            </w:r>
          </w:p>
          <w:p w:rsidR="000D61DA" w:rsidRPr="00250BA3" w:rsidRDefault="00122704">
            <w:pPr>
              <w:rPr>
                <w:rFonts w:ascii="Arial" w:hAnsi="Arial" w:cs="Arial"/>
                <w:sz w:val="20"/>
                <w:szCs w:val="20"/>
              </w:rPr>
            </w:pPr>
            <w:r>
              <w:rPr>
                <w:rFonts w:ascii="Arial" w:hAnsi="Arial" w:cs="Arial"/>
                <w:sz w:val="20"/>
                <w:szCs w:val="20"/>
              </w:rPr>
              <w:t>Page 11</w:t>
            </w:r>
          </w:p>
        </w:tc>
        <w:tc>
          <w:tcPr>
            <w:tcW w:w="11089" w:type="dxa"/>
          </w:tcPr>
          <w:p w:rsidR="000D61DA" w:rsidRDefault="00122704">
            <w:pPr>
              <w:rPr>
                <w:rFonts w:ascii="Arial" w:hAnsi="Arial" w:cs="Arial"/>
                <w:sz w:val="20"/>
                <w:szCs w:val="20"/>
              </w:rPr>
            </w:pPr>
            <w:r>
              <w:rPr>
                <w:rFonts w:ascii="Arial" w:hAnsi="Arial" w:cs="Arial"/>
                <w:sz w:val="20"/>
                <w:szCs w:val="20"/>
              </w:rPr>
              <w:t xml:space="preserve">The position in respect of the five-year housing land supply </w:t>
            </w:r>
            <w:r w:rsidR="00A94B98">
              <w:rPr>
                <w:rFonts w:ascii="Arial" w:hAnsi="Arial" w:cs="Arial"/>
                <w:sz w:val="20"/>
                <w:szCs w:val="20"/>
              </w:rPr>
              <w:t>has</w:t>
            </w:r>
            <w:r>
              <w:rPr>
                <w:rFonts w:ascii="Arial" w:hAnsi="Arial" w:cs="Arial"/>
                <w:sz w:val="20"/>
                <w:szCs w:val="20"/>
              </w:rPr>
              <w:t xml:space="preserve"> changed following the Ministerial Statement made on 12</w:t>
            </w:r>
            <w:r w:rsidRPr="00122704">
              <w:rPr>
                <w:rFonts w:ascii="Arial" w:hAnsi="Arial" w:cs="Arial"/>
                <w:sz w:val="20"/>
                <w:szCs w:val="20"/>
                <w:vertAlign w:val="superscript"/>
              </w:rPr>
              <w:t>th</w:t>
            </w:r>
            <w:r>
              <w:rPr>
                <w:rFonts w:ascii="Arial" w:hAnsi="Arial" w:cs="Arial"/>
                <w:sz w:val="20"/>
                <w:szCs w:val="20"/>
              </w:rPr>
              <w:t xml:space="preserve"> December 2016. There is an opportunity now to refer to the fact that the Neighbourhood Plan would not be considered out-of-date if the Local Authority </w:t>
            </w:r>
            <w:r w:rsidR="00A94B98">
              <w:rPr>
                <w:rFonts w:ascii="Arial" w:hAnsi="Arial" w:cs="Arial"/>
                <w:sz w:val="20"/>
                <w:szCs w:val="20"/>
              </w:rPr>
              <w:t>can</w:t>
            </w:r>
            <w:r>
              <w:rPr>
                <w:rFonts w:ascii="Arial" w:hAnsi="Arial" w:cs="Arial"/>
                <w:sz w:val="20"/>
                <w:szCs w:val="20"/>
              </w:rPr>
              <w:t xml:space="preserve"> demonstrate a three-year housing land supply. </w:t>
            </w:r>
          </w:p>
          <w:p w:rsidR="00781145" w:rsidRPr="00250BA3" w:rsidRDefault="00781145">
            <w:pPr>
              <w:rPr>
                <w:rFonts w:ascii="Arial" w:hAnsi="Arial" w:cs="Arial"/>
                <w:sz w:val="20"/>
                <w:szCs w:val="20"/>
              </w:rPr>
            </w:pPr>
          </w:p>
        </w:tc>
      </w:tr>
      <w:tr w:rsidR="000D61DA" w:rsidTr="000D61DA">
        <w:tc>
          <w:tcPr>
            <w:tcW w:w="3085" w:type="dxa"/>
          </w:tcPr>
          <w:p w:rsidR="002A5DD8" w:rsidRDefault="00781145" w:rsidP="00781145">
            <w:pPr>
              <w:rPr>
                <w:rFonts w:ascii="Arial" w:hAnsi="Arial" w:cs="Arial"/>
                <w:sz w:val="20"/>
                <w:szCs w:val="20"/>
              </w:rPr>
            </w:pPr>
            <w:r>
              <w:rPr>
                <w:rFonts w:ascii="Arial" w:hAnsi="Arial" w:cs="Arial"/>
                <w:sz w:val="20"/>
                <w:szCs w:val="20"/>
              </w:rPr>
              <w:t xml:space="preserve">Section 6 – Housing </w:t>
            </w:r>
          </w:p>
          <w:p w:rsidR="000D61DA" w:rsidRPr="00250BA3" w:rsidRDefault="00781145" w:rsidP="00781145">
            <w:pPr>
              <w:rPr>
                <w:rFonts w:ascii="Arial" w:hAnsi="Arial" w:cs="Arial"/>
                <w:sz w:val="20"/>
                <w:szCs w:val="20"/>
              </w:rPr>
            </w:pPr>
            <w:r>
              <w:rPr>
                <w:rFonts w:ascii="Arial" w:hAnsi="Arial" w:cs="Arial"/>
                <w:sz w:val="20"/>
                <w:szCs w:val="20"/>
              </w:rPr>
              <w:t>Page 12 (6.1) South West of the Town</w:t>
            </w:r>
          </w:p>
        </w:tc>
        <w:tc>
          <w:tcPr>
            <w:tcW w:w="11089" w:type="dxa"/>
          </w:tcPr>
          <w:p w:rsidR="000D61DA" w:rsidRDefault="00781145" w:rsidP="00BB2536">
            <w:pPr>
              <w:rPr>
                <w:rFonts w:ascii="Arial" w:hAnsi="Arial" w:cs="Arial"/>
                <w:sz w:val="20"/>
                <w:szCs w:val="20"/>
              </w:rPr>
            </w:pPr>
            <w:r>
              <w:rPr>
                <w:rFonts w:ascii="Arial" w:hAnsi="Arial" w:cs="Arial"/>
                <w:sz w:val="20"/>
                <w:szCs w:val="20"/>
              </w:rPr>
              <w:t xml:space="preserve">This should be updated to reflect the latest information on need – see Somerset County Council’s Early Years and School Place Planning Infrastructure Growth Plan for Somerset 2016. The requirement for a new primary school is understood to have been superseded following the approval </w:t>
            </w:r>
            <w:r w:rsidR="00BB2536">
              <w:rPr>
                <w:rFonts w:ascii="Arial" w:hAnsi="Arial" w:cs="Arial"/>
                <w:sz w:val="20"/>
                <w:szCs w:val="20"/>
              </w:rPr>
              <w:t xml:space="preserve">and subsequent construction </w:t>
            </w:r>
            <w:r>
              <w:rPr>
                <w:rFonts w:ascii="Arial" w:hAnsi="Arial" w:cs="Arial"/>
                <w:sz w:val="20"/>
                <w:szCs w:val="20"/>
              </w:rPr>
              <w:t>of an extension on additional</w:t>
            </w:r>
            <w:r w:rsidR="00BB2536">
              <w:rPr>
                <w:rFonts w:ascii="Arial" w:hAnsi="Arial" w:cs="Arial"/>
                <w:sz w:val="20"/>
                <w:szCs w:val="20"/>
              </w:rPr>
              <w:t xml:space="preserve"> land behind the existing school. </w:t>
            </w:r>
          </w:p>
          <w:p w:rsidR="002A5DD8" w:rsidRPr="00250BA3" w:rsidRDefault="002A5DD8" w:rsidP="00BB2536">
            <w:pPr>
              <w:rPr>
                <w:rFonts w:ascii="Arial" w:hAnsi="Arial" w:cs="Arial"/>
                <w:sz w:val="20"/>
                <w:szCs w:val="20"/>
              </w:rPr>
            </w:pPr>
          </w:p>
        </w:tc>
      </w:tr>
      <w:tr w:rsidR="000D61DA" w:rsidTr="000D61DA">
        <w:tc>
          <w:tcPr>
            <w:tcW w:w="3085" w:type="dxa"/>
          </w:tcPr>
          <w:p w:rsidR="002A5DD8" w:rsidRDefault="002A5DD8">
            <w:pPr>
              <w:rPr>
                <w:rFonts w:ascii="Arial" w:hAnsi="Arial" w:cs="Arial"/>
                <w:sz w:val="20"/>
                <w:szCs w:val="20"/>
              </w:rPr>
            </w:pPr>
            <w:r>
              <w:rPr>
                <w:rFonts w:ascii="Arial" w:hAnsi="Arial" w:cs="Arial"/>
                <w:sz w:val="20"/>
                <w:szCs w:val="20"/>
              </w:rPr>
              <w:t xml:space="preserve">Section 6 – Housing </w:t>
            </w:r>
          </w:p>
          <w:p w:rsidR="000D61DA" w:rsidRPr="00250BA3" w:rsidRDefault="002A5DD8" w:rsidP="00AB17FE">
            <w:pPr>
              <w:rPr>
                <w:rFonts w:ascii="Arial" w:hAnsi="Arial" w:cs="Arial"/>
                <w:sz w:val="20"/>
                <w:szCs w:val="20"/>
              </w:rPr>
            </w:pPr>
            <w:r>
              <w:rPr>
                <w:rFonts w:ascii="Arial" w:hAnsi="Arial" w:cs="Arial"/>
                <w:sz w:val="20"/>
                <w:szCs w:val="20"/>
              </w:rPr>
              <w:t>Pages 14/15 and Policy 5</w:t>
            </w:r>
          </w:p>
        </w:tc>
        <w:tc>
          <w:tcPr>
            <w:tcW w:w="11089" w:type="dxa"/>
          </w:tcPr>
          <w:p w:rsidR="000D61DA" w:rsidRPr="00250BA3" w:rsidRDefault="002A5DD8">
            <w:pPr>
              <w:rPr>
                <w:rFonts w:ascii="Arial" w:hAnsi="Arial" w:cs="Arial"/>
                <w:sz w:val="20"/>
                <w:szCs w:val="20"/>
              </w:rPr>
            </w:pPr>
            <w:r>
              <w:rPr>
                <w:rFonts w:ascii="Arial" w:hAnsi="Arial" w:cs="Arial"/>
                <w:sz w:val="20"/>
                <w:szCs w:val="20"/>
              </w:rPr>
              <w:t>It is not clear which proposals should include a landscape scheme.</w:t>
            </w:r>
          </w:p>
        </w:tc>
      </w:tr>
      <w:tr w:rsidR="000D61DA" w:rsidTr="000D61DA">
        <w:tc>
          <w:tcPr>
            <w:tcW w:w="3085" w:type="dxa"/>
          </w:tcPr>
          <w:p w:rsidR="002A5DD8" w:rsidRDefault="002A5DD8">
            <w:pPr>
              <w:rPr>
                <w:rFonts w:ascii="Arial" w:hAnsi="Arial" w:cs="Arial"/>
                <w:sz w:val="20"/>
                <w:szCs w:val="20"/>
              </w:rPr>
            </w:pPr>
            <w:r>
              <w:rPr>
                <w:rFonts w:ascii="Arial" w:hAnsi="Arial" w:cs="Arial"/>
                <w:sz w:val="20"/>
                <w:szCs w:val="20"/>
              </w:rPr>
              <w:t xml:space="preserve">Section 6 – Housing </w:t>
            </w:r>
          </w:p>
          <w:p w:rsidR="000D61DA" w:rsidRPr="00250BA3" w:rsidRDefault="002A5DD8">
            <w:pPr>
              <w:rPr>
                <w:rFonts w:ascii="Arial" w:hAnsi="Arial" w:cs="Arial"/>
                <w:sz w:val="20"/>
                <w:szCs w:val="20"/>
              </w:rPr>
            </w:pPr>
            <w:r>
              <w:rPr>
                <w:rFonts w:ascii="Arial" w:hAnsi="Arial" w:cs="Arial"/>
                <w:sz w:val="20"/>
                <w:szCs w:val="20"/>
              </w:rPr>
              <w:t>Page 16 (6.2)</w:t>
            </w:r>
          </w:p>
        </w:tc>
        <w:tc>
          <w:tcPr>
            <w:tcW w:w="11089" w:type="dxa"/>
          </w:tcPr>
          <w:p w:rsidR="000D61DA" w:rsidRPr="00250BA3" w:rsidRDefault="00DC50D7">
            <w:pPr>
              <w:rPr>
                <w:rFonts w:ascii="Arial" w:hAnsi="Arial" w:cs="Arial"/>
                <w:sz w:val="20"/>
                <w:szCs w:val="20"/>
              </w:rPr>
            </w:pPr>
            <w:r>
              <w:rPr>
                <w:rFonts w:ascii="Arial" w:hAnsi="Arial" w:cs="Arial"/>
                <w:sz w:val="20"/>
                <w:szCs w:val="20"/>
              </w:rPr>
              <w:t xml:space="preserve">It would be useful to reference the data sources here. </w:t>
            </w:r>
          </w:p>
        </w:tc>
      </w:tr>
      <w:tr w:rsidR="000D61DA" w:rsidTr="000D61DA">
        <w:tc>
          <w:tcPr>
            <w:tcW w:w="3085" w:type="dxa"/>
          </w:tcPr>
          <w:p w:rsidR="000D61DA" w:rsidRDefault="005366A0">
            <w:pPr>
              <w:rPr>
                <w:rFonts w:ascii="Arial" w:hAnsi="Arial" w:cs="Arial"/>
                <w:sz w:val="20"/>
                <w:szCs w:val="20"/>
              </w:rPr>
            </w:pPr>
            <w:r>
              <w:rPr>
                <w:rFonts w:ascii="Arial" w:hAnsi="Arial" w:cs="Arial"/>
                <w:sz w:val="20"/>
                <w:szCs w:val="20"/>
              </w:rPr>
              <w:t>Section 6 – Housing</w:t>
            </w:r>
          </w:p>
          <w:p w:rsidR="005366A0" w:rsidRPr="00250BA3" w:rsidRDefault="005366A0">
            <w:pPr>
              <w:rPr>
                <w:rFonts w:ascii="Arial" w:hAnsi="Arial" w:cs="Arial"/>
                <w:sz w:val="20"/>
                <w:szCs w:val="20"/>
              </w:rPr>
            </w:pPr>
            <w:r>
              <w:rPr>
                <w:rFonts w:ascii="Arial" w:hAnsi="Arial" w:cs="Arial"/>
                <w:sz w:val="20"/>
                <w:szCs w:val="20"/>
              </w:rPr>
              <w:t>Page 17 (6.2) Policy 7</w:t>
            </w:r>
          </w:p>
        </w:tc>
        <w:tc>
          <w:tcPr>
            <w:tcW w:w="11089" w:type="dxa"/>
          </w:tcPr>
          <w:p w:rsidR="000D61DA" w:rsidRDefault="005366A0" w:rsidP="005366A0">
            <w:pPr>
              <w:rPr>
                <w:rFonts w:ascii="Arial" w:hAnsi="Arial" w:cs="Arial"/>
                <w:sz w:val="20"/>
                <w:szCs w:val="20"/>
              </w:rPr>
            </w:pPr>
            <w:r>
              <w:rPr>
                <w:rFonts w:ascii="Arial" w:hAnsi="Arial" w:cs="Arial"/>
                <w:sz w:val="20"/>
                <w:szCs w:val="20"/>
              </w:rPr>
              <w:t xml:space="preserve">This policy is overly restrictive and does not make provision for four-bed dwellings. There is no definition of what would be used to determine what “a significant proportion” is. Neither does the policy address the evidence that one-bedroom properties are difficult to sell. </w:t>
            </w:r>
          </w:p>
          <w:p w:rsidR="001F051D" w:rsidRDefault="001F051D" w:rsidP="005366A0">
            <w:pPr>
              <w:rPr>
                <w:rFonts w:ascii="Arial" w:hAnsi="Arial" w:cs="Arial"/>
                <w:sz w:val="20"/>
                <w:szCs w:val="20"/>
              </w:rPr>
            </w:pPr>
          </w:p>
          <w:p w:rsidR="001F051D" w:rsidRDefault="00DD4DB4" w:rsidP="005366A0">
            <w:pPr>
              <w:rPr>
                <w:rFonts w:ascii="Arial" w:hAnsi="Arial" w:cs="Arial"/>
                <w:sz w:val="20"/>
                <w:szCs w:val="20"/>
              </w:rPr>
            </w:pPr>
            <w:r>
              <w:rPr>
                <w:rFonts w:ascii="Arial" w:hAnsi="Arial" w:cs="Arial"/>
                <w:sz w:val="20"/>
                <w:szCs w:val="20"/>
              </w:rPr>
              <w:t xml:space="preserve">The Housing Review report submitted with the Submission Draft Plan does not provide sufficient evidence to support this policy. </w:t>
            </w:r>
          </w:p>
          <w:p w:rsidR="00AB17FE" w:rsidRDefault="00AB17FE" w:rsidP="005366A0">
            <w:pPr>
              <w:rPr>
                <w:rFonts w:ascii="Arial" w:hAnsi="Arial" w:cs="Arial"/>
                <w:sz w:val="20"/>
                <w:szCs w:val="20"/>
              </w:rPr>
            </w:pPr>
          </w:p>
          <w:p w:rsidR="00AB17FE" w:rsidRDefault="00AB17FE" w:rsidP="005366A0">
            <w:pPr>
              <w:rPr>
                <w:rFonts w:ascii="Arial" w:hAnsi="Arial" w:cs="Arial"/>
                <w:sz w:val="20"/>
                <w:szCs w:val="20"/>
              </w:rPr>
            </w:pPr>
          </w:p>
          <w:p w:rsidR="00DD4DB4" w:rsidRPr="00250BA3" w:rsidRDefault="00DD4DB4" w:rsidP="005366A0">
            <w:pPr>
              <w:rPr>
                <w:rFonts w:ascii="Arial" w:hAnsi="Arial" w:cs="Arial"/>
                <w:sz w:val="20"/>
                <w:szCs w:val="20"/>
              </w:rPr>
            </w:pPr>
          </w:p>
        </w:tc>
      </w:tr>
      <w:tr w:rsidR="000D61DA" w:rsidTr="000D61DA">
        <w:tc>
          <w:tcPr>
            <w:tcW w:w="3085" w:type="dxa"/>
          </w:tcPr>
          <w:p w:rsidR="00AB17FE" w:rsidRDefault="00AB17FE">
            <w:pPr>
              <w:rPr>
                <w:rFonts w:ascii="Arial" w:hAnsi="Arial" w:cs="Arial"/>
                <w:sz w:val="20"/>
                <w:szCs w:val="20"/>
              </w:rPr>
            </w:pPr>
            <w:r>
              <w:rPr>
                <w:rFonts w:ascii="Arial" w:hAnsi="Arial" w:cs="Arial"/>
                <w:sz w:val="20"/>
                <w:szCs w:val="20"/>
              </w:rPr>
              <w:lastRenderedPageBreak/>
              <w:t xml:space="preserve">Section 6 – Housing </w:t>
            </w:r>
          </w:p>
          <w:p w:rsidR="000D61DA" w:rsidRPr="00250BA3" w:rsidRDefault="00AB17FE">
            <w:pPr>
              <w:rPr>
                <w:rFonts w:ascii="Arial" w:hAnsi="Arial" w:cs="Arial"/>
                <w:sz w:val="20"/>
                <w:szCs w:val="20"/>
              </w:rPr>
            </w:pPr>
            <w:r>
              <w:rPr>
                <w:rFonts w:ascii="Arial" w:hAnsi="Arial" w:cs="Arial"/>
                <w:sz w:val="20"/>
                <w:szCs w:val="20"/>
              </w:rPr>
              <w:t>Page 17 (6.2) Policy 8</w:t>
            </w:r>
          </w:p>
        </w:tc>
        <w:tc>
          <w:tcPr>
            <w:tcW w:w="11089" w:type="dxa"/>
          </w:tcPr>
          <w:p w:rsidR="00BB47B1" w:rsidRDefault="00AB17FE" w:rsidP="00BB47B1">
            <w:pPr>
              <w:autoSpaceDE w:val="0"/>
              <w:autoSpaceDN w:val="0"/>
              <w:adjustRightInd w:val="0"/>
              <w:rPr>
                <w:rFonts w:ascii="Arial" w:hAnsi="Arial" w:cs="Arial"/>
                <w:sz w:val="20"/>
                <w:szCs w:val="20"/>
              </w:rPr>
            </w:pPr>
            <w:r>
              <w:rPr>
                <w:rFonts w:ascii="Arial" w:hAnsi="Arial" w:cs="Arial"/>
                <w:sz w:val="20"/>
                <w:szCs w:val="20"/>
              </w:rPr>
              <w:t xml:space="preserve">This is adequately dealt with by National and Local Plan policies. </w:t>
            </w:r>
          </w:p>
          <w:p w:rsidR="00BB47B1" w:rsidRDefault="00BB47B1" w:rsidP="00BB47B1">
            <w:pPr>
              <w:autoSpaceDE w:val="0"/>
              <w:autoSpaceDN w:val="0"/>
              <w:adjustRightInd w:val="0"/>
              <w:rPr>
                <w:rFonts w:ascii="Arial" w:hAnsi="Arial" w:cs="Arial"/>
                <w:sz w:val="20"/>
                <w:szCs w:val="20"/>
              </w:rPr>
            </w:pPr>
          </w:p>
          <w:p w:rsidR="00BB47B1" w:rsidRDefault="00BB47B1" w:rsidP="00BB47B1">
            <w:pPr>
              <w:autoSpaceDE w:val="0"/>
              <w:autoSpaceDN w:val="0"/>
              <w:adjustRightInd w:val="0"/>
              <w:rPr>
                <w:rFonts w:ascii="Arial" w:hAnsi="Arial" w:cs="Arial"/>
                <w:sz w:val="20"/>
                <w:szCs w:val="20"/>
              </w:rPr>
            </w:pPr>
            <w:r>
              <w:rPr>
                <w:rFonts w:ascii="Arial" w:hAnsi="Arial" w:cs="Arial"/>
                <w:sz w:val="20"/>
                <w:szCs w:val="20"/>
              </w:rPr>
              <w:t xml:space="preserve">Paragraph 8.46 of the Strategic Housing Market </w:t>
            </w:r>
            <w:r>
              <w:rPr>
                <w:rFonts w:ascii="Arial" w:hAnsi="Arial" w:cs="Arial"/>
                <w:sz w:val="20"/>
                <w:szCs w:val="20"/>
              </w:rPr>
              <w:t>A</w:t>
            </w:r>
            <w:r>
              <w:rPr>
                <w:rFonts w:ascii="Arial" w:hAnsi="Arial" w:cs="Arial"/>
                <w:sz w:val="20"/>
                <w:szCs w:val="20"/>
              </w:rPr>
              <w:t xml:space="preserve">ssessment (October 2016) states </w:t>
            </w:r>
          </w:p>
          <w:p w:rsidR="00BB47B1" w:rsidRPr="00BB47B1" w:rsidRDefault="00BB47B1" w:rsidP="00BB47B1">
            <w:pPr>
              <w:autoSpaceDE w:val="0"/>
              <w:autoSpaceDN w:val="0"/>
              <w:adjustRightInd w:val="0"/>
              <w:rPr>
                <w:rFonts w:ascii="Helvetica" w:hAnsi="Helvetica" w:cs="Helvetica"/>
                <w:i/>
                <w:sz w:val="20"/>
                <w:szCs w:val="20"/>
              </w:rPr>
            </w:pPr>
            <w:r w:rsidRPr="00BB47B1">
              <w:rPr>
                <w:rFonts w:ascii="Arial" w:hAnsi="Arial" w:cs="Arial"/>
                <w:i/>
                <w:sz w:val="20"/>
                <w:szCs w:val="20"/>
              </w:rPr>
              <w:t>“</w:t>
            </w:r>
            <w:r w:rsidRPr="00BB47B1">
              <w:rPr>
                <w:rFonts w:ascii="Helvetica" w:hAnsi="Helvetica" w:cs="Helvetica"/>
                <w:i/>
                <w:sz w:val="20"/>
                <w:szCs w:val="20"/>
              </w:rPr>
              <w:t>On balance, this analysis would suggest that there is likely to be sufficient demand for 20% of</w:t>
            </w:r>
          </w:p>
          <w:p w:rsidR="00BB47B1" w:rsidRPr="00BB47B1" w:rsidRDefault="00BB47B1" w:rsidP="00BB47B1">
            <w:pPr>
              <w:autoSpaceDE w:val="0"/>
              <w:autoSpaceDN w:val="0"/>
              <w:adjustRightInd w:val="0"/>
              <w:rPr>
                <w:rFonts w:ascii="Helvetica" w:hAnsi="Helvetica" w:cs="Helvetica"/>
                <w:i/>
                <w:sz w:val="20"/>
                <w:szCs w:val="20"/>
              </w:rPr>
            </w:pPr>
            <w:r w:rsidRPr="00BB47B1">
              <w:rPr>
                <w:rFonts w:ascii="Helvetica" w:hAnsi="Helvetica" w:cs="Helvetica"/>
                <w:i/>
                <w:sz w:val="20"/>
                <w:szCs w:val="20"/>
              </w:rPr>
              <w:t>housing to be provided as Starter Homes although issues about the affordability of such a product</w:t>
            </w:r>
          </w:p>
          <w:p w:rsidR="00BB47B1" w:rsidRPr="00BB47B1" w:rsidRDefault="00BB47B1" w:rsidP="00BB47B1">
            <w:pPr>
              <w:autoSpaceDE w:val="0"/>
              <w:autoSpaceDN w:val="0"/>
              <w:adjustRightInd w:val="0"/>
              <w:rPr>
                <w:rFonts w:ascii="Helvetica" w:hAnsi="Helvetica" w:cs="Helvetica"/>
                <w:i/>
                <w:sz w:val="20"/>
                <w:szCs w:val="20"/>
              </w:rPr>
            </w:pPr>
            <w:r w:rsidRPr="00BB47B1">
              <w:rPr>
                <w:rFonts w:ascii="Helvetica" w:hAnsi="Helvetica" w:cs="Helvetica"/>
                <w:i/>
                <w:sz w:val="20"/>
                <w:szCs w:val="20"/>
              </w:rPr>
              <w:t>remain. As currently worded, the Housing and Planning Act seems likely to require local authorities</w:t>
            </w:r>
          </w:p>
          <w:p w:rsidR="00BB47B1" w:rsidRPr="00BB47B1" w:rsidRDefault="00BB47B1" w:rsidP="00BB47B1">
            <w:pPr>
              <w:autoSpaceDE w:val="0"/>
              <w:autoSpaceDN w:val="0"/>
              <w:adjustRightInd w:val="0"/>
              <w:rPr>
                <w:rFonts w:ascii="Helvetica" w:hAnsi="Helvetica" w:cs="Helvetica"/>
                <w:i/>
                <w:sz w:val="20"/>
                <w:szCs w:val="20"/>
              </w:rPr>
            </w:pPr>
            <w:r w:rsidRPr="00BB47B1">
              <w:rPr>
                <w:rFonts w:ascii="Helvetica" w:hAnsi="Helvetica" w:cs="Helvetica"/>
                <w:i/>
                <w:sz w:val="20"/>
                <w:szCs w:val="20"/>
              </w:rPr>
              <w:t>to provide at least 20% of housing as Starter Homes. Were there to be a degree of flexibility in the</w:t>
            </w:r>
          </w:p>
          <w:p w:rsidR="00BB47B1" w:rsidRPr="00BB47B1" w:rsidRDefault="00BB47B1" w:rsidP="00BB47B1">
            <w:pPr>
              <w:autoSpaceDE w:val="0"/>
              <w:autoSpaceDN w:val="0"/>
              <w:adjustRightInd w:val="0"/>
              <w:rPr>
                <w:rFonts w:ascii="Helvetica" w:hAnsi="Helvetica" w:cs="Helvetica"/>
                <w:i/>
                <w:sz w:val="20"/>
                <w:szCs w:val="20"/>
              </w:rPr>
            </w:pPr>
            <w:r w:rsidRPr="00BB47B1">
              <w:rPr>
                <w:rFonts w:ascii="Helvetica" w:hAnsi="Helvetica" w:cs="Helvetica"/>
                <w:i/>
                <w:sz w:val="20"/>
                <w:szCs w:val="20"/>
              </w:rPr>
              <w:t>proportion of homes to be provided within this tenure then the Councils will need to consider this by</w:t>
            </w:r>
          </w:p>
          <w:p w:rsidR="00BB47B1" w:rsidRPr="00BB47B1" w:rsidRDefault="00BB47B1" w:rsidP="00BB47B1">
            <w:pPr>
              <w:autoSpaceDE w:val="0"/>
              <w:autoSpaceDN w:val="0"/>
              <w:adjustRightInd w:val="0"/>
              <w:rPr>
                <w:rFonts w:ascii="Helvetica" w:hAnsi="Helvetica" w:cs="Helvetica"/>
                <w:i/>
                <w:sz w:val="20"/>
                <w:szCs w:val="20"/>
              </w:rPr>
            </w:pPr>
            <w:r w:rsidRPr="00BB47B1">
              <w:rPr>
                <w:rFonts w:ascii="Helvetica" w:hAnsi="Helvetica" w:cs="Helvetica"/>
                <w:i/>
                <w:sz w:val="20"/>
                <w:szCs w:val="20"/>
              </w:rPr>
              <w:t>balancing the needs for more traditional forms of affordable housing. This could well be through</w:t>
            </w:r>
          </w:p>
          <w:p w:rsidR="00BB47B1" w:rsidRPr="00BB47B1" w:rsidRDefault="00BB47B1" w:rsidP="00BB47B1">
            <w:pPr>
              <w:autoSpaceDE w:val="0"/>
              <w:autoSpaceDN w:val="0"/>
              <w:adjustRightInd w:val="0"/>
              <w:rPr>
                <w:rFonts w:ascii="Helvetica" w:hAnsi="Helvetica" w:cs="Helvetica"/>
                <w:i/>
                <w:sz w:val="20"/>
                <w:szCs w:val="20"/>
                <w:u w:val="single"/>
              </w:rPr>
            </w:pPr>
            <w:r w:rsidRPr="00BB47B1">
              <w:rPr>
                <w:rFonts w:ascii="Helvetica" w:hAnsi="Helvetica" w:cs="Helvetica"/>
                <w:i/>
                <w:sz w:val="20"/>
                <w:szCs w:val="20"/>
              </w:rPr>
              <w:t xml:space="preserve">seeking a lower proportion of Starter Homes (or possibly none); </w:t>
            </w:r>
            <w:r w:rsidRPr="00BB47B1">
              <w:rPr>
                <w:rFonts w:ascii="Helvetica" w:hAnsi="Helvetica" w:cs="Helvetica"/>
                <w:i/>
                <w:sz w:val="20"/>
                <w:szCs w:val="20"/>
                <w:u w:val="single"/>
              </w:rPr>
              <w:t>recognising that these households</w:t>
            </w:r>
          </w:p>
          <w:p w:rsidR="00BB47B1" w:rsidRPr="00BB47B1" w:rsidRDefault="00BB47B1" w:rsidP="00BB47B1">
            <w:pPr>
              <w:autoSpaceDE w:val="0"/>
              <w:autoSpaceDN w:val="0"/>
              <w:adjustRightInd w:val="0"/>
              <w:rPr>
                <w:rFonts w:ascii="Helvetica" w:hAnsi="Helvetica" w:cs="Helvetica"/>
                <w:i/>
                <w:sz w:val="20"/>
                <w:szCs w:val="20"/>
                <w:u w:val="single"/>
              </w:rPr>
            </w:pPr>
            <w:r w:rsidRPr="00BB47B1">
              <w:rPr>
                <w:rFonts w:ascii="Helvetica" w:hAnsi="Helvetica" w:cs="Helvetica"/>
                <w:i/>
                <w:sz w:val="20"/>
                <w:szCs w:val="20"/>
                <w:u w:val="single"/>
              </w:rPr>
              <w:t>with the potential to afford such a product will already be able to meet their own needs in the housing</w:t>
            </w:r>
          </w:p>
          <w:p w:rsidR="00BB47B1" w:rsidRDefault="00BB47B1" w:rsidP="00BB47B1">
            <w:pPr>
              <w:rPr>
                <w:rFonts w:ascii="Arial" w:hAnsi="Arial" w:cs="Arial"/>
                <w:i/>
                <w:sz w:val="20"/>
                <w:szCs w:val="20"/>
              </w:rPr>
            </w:pPr>
            <w:r w:rsidRPr="00BB47B1">
              <w:rPr>
                <w:rFonts w:ascii="Helvetica" w:hAnsi="Helvetica" w:cs="Helvetica"/>
                <w:i/>
                <w:sz w:val="20"/>
                <w:szCs w:val="20"/>
                <w:u w:val="single"/>
              </w:rPr>
              <w:t>market (through renting privately)</w:t>
            </w:r>
            <w:r w:rsidRPr="00BB47B1">
              <w:rPr>
                <w:rFonts w:ascii="Arial" w:hAnsi="Arial" w:cs="Arial"/>
                <w:i/>
                <w:sz w:val="20"/>
                <w:szCs w:val="20"/>
              </w:rPr>
              <w:t>”</w:t>
            </w:r>
          </w:p>
          <w:p w:rsidR="00BB47B1" w:rsidRDefault="00BB47B1" w:rsidP="00BB47B1">
            <w:pPr>
              <w:rPr>
                <w:rFonts w:ascii="Arial" w:hAnsi="Arial" w:cs="Arial"/>
                <w:i/>
                <w:sz w:val="20"/>
                <w:szCs w:val="20"/>
              </w:rPr>
            </w:pPr>
          </w:p>
          <w:p w:rsidR="00BB47B1" w:rsidRDefault="00BB47B1" w:rsidP="00BB47B1">
            <w:pPr>
              <w:rPr>
                <w:rFonts w:ascii="Arial" w:hAnsi="Arial" w:cs="Arial"/>
                <w:sz w:val="20"/>
                <w:szCs w:val="20"/>
              </w:rPr>
            </w:pPr>
            <w:r>
              <w:rPr>
                <w:rFonts w:ascii="Arial" w:hAnsi="Arial" w:cs="Arial"/>
                <w:sz w:val="20"/>
                <w:szCs w:val="20"/>
              </w:rPr>
              <w:t xml:space="preserve">The Housing White Paper 2017 subsequently implies that the Government has decided not to implement a statutory starter homes requirement. </w:t>
            </w:r>
          </w:p>
          <w:p w:rsidR="00AB17FE" w:rsidRDefault="00AB17FE">
            <w:pPr>
              <w:rPr>
                <w:rFonts w:ascii="Arial" w:hAnsi="Arial" w:cs="Arial"/>
                <w:sz w:val="20"/>
                <w:szCs w:val="20"/>
              </w:rPr>
            </w:pPr>
          </w:p>
          <w:p w:rsidR="00AB17FE" w:rsidRDefault="00AB17FE">
            <w:pPr>
              <w:rPr>
                <w:rFonts w:ascii="Arial" w:hAnsi="Arial" w:cs="Arial"/>
                <w:sz w:val="20"/>
                <w:szCs w:val="20"/>
              </w:rPr>
            </w:pPr>
            <w:r>
              <w:rPr>
                <w:rFonts w:ascii="Arial" w:hAnsi="Arial" w:cs="Arial"/>
                <w:sz w:val="20"/>
                <w:szCs w:val="20"/>
              </w:rPr>
              <w:t xml:space="preserve">A local connection is not defined in the Draft Neighbourhood Plan and may not be possible to enforce; and ‘affordable level’ is not defined and may also not be enforceable. </w:t>
            </w:r>
          </w:p>
          <w:p w:rsidR="00AB17FE" w:rsidRDefault="00AB17FE">
            <w:pPr>
              <w:rPr>
                <w:rFonts w:ascii="Arial" w:hAnsi="Arial" w:cs="Arial"/>
                <w:sz w:val="20"/>
                <w:szCs w:val="20"/>
              </w:rPr>
            </w:pPr>
          </w:p>
          <w:p w:rsidR="00AB17FE" w:rsidRDefault="00AB17FE">
            <w:pPr>
              <w:rPr>
                <w:rFonts w:ascii="Arial" w:hAnsi="Arial" w:cs="Arial"/>
                <w:sz w:val="20"/>
                <w:szCs w:val="20"/>
              </w:rPr>
            </w:pPr>
            <w:r>
              <w:rPr>
                <w:rFonts w:ascii="Arial" w:hAnsi="Arial" w:cs="Arial"/>
                <w:sz w:val="20"/>
                <w:szCs w:val="20"/>
              </w:rPr>
              <w:t xml:space="preserve">The Housing Review Report submitted with the Submission Draft Plan does not provide sufficient evidence to support this policy. </w:t>
            </w:r>
          </w:p>
          <w:p w:rsidR="00AB17FE" w:rsidRPr="00250BA3" w:rsidRDefault="00AB17FE">
            <w:pPr>
              <w:rPr>
                <w:rFonts w:ascii="Arial" w:hAnsi="Arial" w:cs="Arial"/>
                <w:sz w:val="20"/>
                <w:szCs w:val="20"/>
              </w:rPr>
            </w:pPr>
          </w:p>
        </w:tc>
      </w:tr>
      <w:tr w:rsidR="000D61DA" w:rsidTr="000D61DA">
        <w:tc>
          <w:tcPr>
            <w:tcW w:w="3085" w:type="dxa"/>
          </w:tcPr>
          <w:p w:rsidR="000D61DA" w:rsidRDefault="00AB17FE">
            <w:pPr>
              <w:rPr>
                <w:rFonts w:ascii="Arial" w:hAnsi="Arial" w:cs="Arial"/>
                <w:sz w:val="20"/>
                <w:szCs w:val="20"/>
              </w:rPr>
            </w:pPr>
            <w:r>
              <w:rPr>
                <w:rFonts w:ascii="Arial" w:hAnsi="Arial" w:cs="Arial"/>
                <w:sz w:val="20"/>
                <w:szCs w:val="20"/>
              </w:rPr>
              <w:t xml:space="preserve">Section 6 – Housing </w:t>
            </w:r>
          </w:p>
          <w:p w:rsidR="00AB17FE" w:rsidRPr="00250BA3" w:rsidRDefault="00AB17FE">
            <w:pPr>
              <w:rPr>
                <w:rFonts w:ascii="Arial" w:hAnsi="Arial" w:cs="Arial"/>
                <w:sz w:val="20"/>
                <w:szCs w:val="20"/>
              </w:rPr>
            </w:pPr>
            <w:r>
              <w:rPr>
                <w:rFonts w:ascii="Arial" w:hAnsi="Arial" w:cs="Arial"/>
                <w:sz w:val="20"/>
                <w:szCs w:val="20"/>
              </w:rPr>
              <w:t>Page 18 (6.2) Policy 9</w:t>
            </w:r>
          </w:p>
        </w:tc>
        <w:tc>
          <w:tcPr>
            <w:tcW w:w="11089" w:type="dxa"/>
          </w:tcPr>
          <w:p w:rsidR="000D61DA" w:rsidRDefault="00AB17FE">
            <w:pPr>
              <w:rPr>
                <w:rFonts w:ascii="Arial" w:hAnsi="Arial" w:cs="Arial"/>
                <w:sz w:val="20"/>
                <w:szCs w:val="20"/>
              </w:rPr>
            </w:pPr>
            <w:r>
              <w:rPr>
                <w:rFonts w:ascii="Arial" w:hAnsi="Arial" w:cs="Arial"/>
                <w:sz w:val="20"/>
                <w:szCs w:val="20"/>
              </w:rPr>
              <w:t xml:space="preserve">This is adequately dealt with by National and Local Plan policies. </w:t>
            </w:r>
            <w:r w:rsidR="004E443C">
              <w:rPr>
                <w:rFonts w:ascii="Arial" w:hAnsi="Arial" w:cs="Arial"/>
                <w:sz w:val="20"/>
                <w:szCs w:val="20"/>
              </w:rPr>
              <w:t>Any requirements regarding Building Regulations technical standards cannot be included in an Neighbourhood Plan.</w:t>
            </w:r>
          </w:p>
          <w:p w:rsidR="004E443C" w:rsidRDefault="004E443C">
            <w:pPr>
              <w:rPr>
                <w:rFonts w:ascii="Arial" w:hAnsi="Arial" w:cs="Arial"/>
                <w:sz w:val="20"/>
                <w:szCs w:val="20"/>
              </w:rPr>
            </w:pPr>
          </w:p>
          <w:p w:rsidR="004E443C" w:rsidRDefault="004E443C" w:rsidP="004E443C">
            <w:pPr>
              <w:rPr>
                <w:rFonts w:ascii="Arial" w:hAnsi="Arial" w:cs="Arial"/>
                <w:sz w:val="20"/>
                <w:szCs w:val="20"/>
              </w:rPr>
            </w:pPr>
            <w:r>
              <w:rPr>
                <w:rFonts w:ascii="Arial" w:hAnsi="Arial" w:cs="Arial"/>
                <w:sz w:val="20"/>
                <w:szCs w:val="20"/>
              </w:rPr>
              <w:t xml:space="preserve">The Housing Review Report </w:t>
            </w:r>
            <w:r>
              <w:rPr>
                <w:rFonts w:ascii="Arial" w:hAnsi="Arial" w:cs="Arial"/>
                <w:sz w:val="20"/>
                <w:szCs w:val="20"/>
              </w:rPr>
              <w:t xml:space="preserve">submitted with the Submission Draft Plan does not provide sufficient evidence to support this policy. </w:t>
            </w:r>
          </w:p>
          <w:p w:rsidR="004E443C" w:rsidRPr="00250BA3" w:rsidRDefault="004E443C">
            <w:pPr>
              <w:rPr>
                <w:rFonts w:ascii="Arial" w:hAnsi="Arial" w:cs="Arial"/>
                <w:sz w:val="20"/>
                <w:szCs w:val="20"/>
              </w:rPr>
            </w:pPr>
          </w:p>
        </w:tc>
      </w:tr>
      <w:tr w:rsidR="000D61DA" w:rsidTr="000D61DA">
        <w:tc>
          <w:tcPr>
            <w:tcW w:w="3085" w:type="dxa"/>
          </w:tcPr>
          <w:p w:rsidR="00162E9F" w:rsidRDefault="00162E9F">
            <w:pPr>
              <w:rPr>
                <w:rFonts w:ascii="Arial" w:hAnsi="Arial" w:cs="Arial"/>
                <w:sz w:val="20"/>
                <w:szCs w:val="20"/>
              </w:rPr>
            </w:pPr>
            <w:r>
              <w:rPr>
                <w:rFonts w:ascii="Arial" w:hAnsi="Arial" w:cs="Arial"/>
                <w:sz w:val="20"/>
                <w:szCs w:val="20"/>
              </w:rPr>
              <w:t xml:space="preserve">Section 6 – Housing </w:t>
            </w:r>
          </w:p>
          <w:p w:rsidR="000D61DA" w:rsidRPr="00250BA3" w:rsidRDefault="00162E9F">
            <w:pPr>
              <w:rPr>
                <w:rFonts w:ascii="Arial" w:hAnsi="Arial" w:cs="Arial"/>
                <w:sz w:val="20"/>
                <w:szCs w:val="20"/>
              </w:rPr>
            </w:pPr>
            <w:r>
              <w:rPr>
                <w:rFonts w:ascii="Arial" w:hAnsi="Arial" w:cs="Arial"/>
                <w:sz w:val="20"/>
                <w:szCs w:val="20"/>
              </w:rPr>
              <w:t>Page 18 (6.2) Policy 10</w:t>
            </w:r>
          </w:p>
        </w:tc>
        <w:tc>
          <w:tcPr>
            <w:tcW w:w="11089" w:type="dxa"/>
          </w:tcPr>
          <w:p w:rsidR="0009065B" w:rsidRDefault="00162E9F" w:rsidP="00162E9F">
            <w:pPr>
              <w:rPr>
                <w:rFonts w:ascii="Arial" w:hAnsi="Arial" w:cs="Arial"/>
                <w:sz w:val="20"/>
                <w:szCs w:val="20"/>
              </w:rPr>
            </w:pPr>
            <w:r>
              <w:rPr>
                <w:rFonts w:ascii="Arial" w:hAnsi="Arial" w:cs="Arial"/>
                <w:sz w:val="20"/>
                <w:szCs w:val="20"/>
              </w:rPr>
              <w:t xml:space="preserve">Such a policy will inevitably cause </w:t>
            </w:r>
            <w:r w:rsidR="00A94B98">
              <w:rPr>
                <w:rFonts w:ascii="Arial" w:hAnsi="Arial" w:cs="Arial"/>
                <w:sz w:val="20"/>
                <w:szCs w:val="20"/>
              </w:rPr>
              <w:t>uncertainties</w:t>
            </w:r>
            <w:r>
              <w:rPr>
                <w:rFonts w:ascii="Arial" w:hAnsi="Arial" w:cs="Arial"/>
                <w:sz w:val="20"/>
                <w:szCs w:val="20"/>
              </w:rPr>
              <w:t xml:space="preserve"> for developer funding and planning, impacting on overall delivery. An encouragement to engage with the local planning authority in relation to registered (and funded) self-builders might actually prove more effective in meeting the housing needs </w:t>
            </w:r>
            <w:r w:rsidR="0009065B">
              <w:rPr>
                <w:rFonts w:ascii="Arial" w:hAnsi="Arial" w:cs="Arial"/>
                <w:sz w:val="20"/>
                <w:szCs w:val="20"/>
              </w:rPr>
              <w:t xml:space="preserve">of this group. There is no clear evidence for the threshold </w:t>
            </w:r>
            <w:r w:rsidR="004E2505">
              <w:rPr>
                <w:rFonts w:ascii="Arial" w:hAnsi="Arial" w:cs="Arial"/>
                <w:sz w:val="20"/>
                <w:szCs w:val="20"/>
              </w:rPr>
              <w:t xml:space="preserve">of 30 dwellings </w:t>
            </w:r>
            <w:r w:rsidR="0009065B">
              <w:rPr>
                <w:rFonts w:ascii="Arial" w:hAnsi="Arial" w:cs="Arial"/>
                <w:sz w:val="20"/>
                <w:szCs w:val="20"/>
              </w:rPr>
              <w:t xml:space="preserve">for the requirement. </w:t>
            </w:r>
          </w:p>
          <w:p w:rsidR="00BB47B1" w:rsidRPr="00BB47B1" w:rsidRDefault="00BB47B1" w:rsidP="00BB47B1">
            <w:pPr>
              <w:rPr>
                <w:rFonts w:ascii="Arial" w:hAnsi="Arial" w:cs="Arial"/>
                <w:sz w:val="20"/>
                <w:szCs w:val="20"/>
              </w:rPr>
            </w:pPr>
          </w:p>
        </w:tc>
      </w:tr>
      <w:tr w:rsidR="000D61DA" w:rsidTr="000D61DA">
        <w:tc>
          <w:tcPr>
            <w:tcW w:w="3085" w:type="dxa"/>
          </w:tcPr>
          <w:p w:rsidR="000D61DA" w:rsidRPr="00250BA3" w:rsidRDefault="008D5AD4">
            <w:pPr>
              <w:rPr>
                <w:rFonts w:ascii="Arial" w:hAnsi="Arial" w:cs="Arial"/>
                <w:sz w:val="20"/>
                <w:szCs w:val="20"/>
              </w:rPr>
            </w:pPr>
            <w:r>
              <w:rPr>
                <w:rFonts w:ascii="Arial" w:hAnsi="Arial" w:cs="Arial"/>
                <w:sz w:val="20"/>
                <w:szCs w:val="20"/>
              </w:rPr>
              <w:t>Page 20 S</w:t>
            </w:r>
            <w:r w:rsidR="008F584B">
              <w:rPr>
                <w:rFonts w:ascii="Arial" w:hAnsi="Arial" w:cs="Arial"/>
                <w:sz w:val="20"/>
                <w:szCs w:val="20"/>
              </w:rPr>
              <w:t>econd paragraph after bullet points</w:t>
            </w:r>
          </w:p>
        </w:tc>
        <w:tc>
          <w:tcPr>
            <w:tcW w:w="11089" w:type="dxa"/>
          </w:tcPr>
          <w:p w:rsidR="000D61DA" w:rsidRDefault="008F584B" w:rsidP="008F584B">
            <w:pPr>
              <w:rPr>
                <w:rFonts w:ascii="Arial" w:hAnsi="Arial" w:cs="Arial"/>
                <w:sz w:val="20"/>
                <w:szCs w:val="20"/>
              </w:rPr>
            </w:pPr>
            <w:r>
              <w:rPr>
                <w:rFonts w:ascii="Arial" w:hAnsi="Arial" w:cs="Arial"/>
                <w:sz w:val="20"/>
                <w:szCs w:val="20"/>
              </w:rPr>
              <w:t xml:space="preserve">Should state </w:t>
            </w:r>
            <w:r w:rsidR="00A94B98">
              <w:rPr>
                <w:rFonts w:ascii="Arial" w:hAnsi="Arial" w:cs="Arial"/>
                <w:sz w:val="20"/>
                <w:szCs w:val="20"/>
              </w:rPr>
              <w:t>a, ”direction</w:t>
            </w:r>
            <w:r>
              <w:rPr>
                <w:rFonts w:ascii="Arial" w:hAnsi="Arial" w:cs="Arial"/>
                <w:sz w:val="20"/>
                <w:szCs w:val="20"/>
              </w:rPr>
              <w:t xml:space="preserve"> of growth is included…” rather than “was included”. </w:t>
            </w:r>
          </w:p>
          <w:p w:rsidR="008D5AD4" w:rsidRDefault="008F584B" w:rsidP="008D5AD4">
            <w:pPr>
              <w:rPr>
                <w:rFonts w:ascii="Arial" w:hAnsi="Arial" w:cs="Arial"/>
                <w:sz w:val="20"/>
                <w:szCs w:val="20"/>
              </w:rPr>
            </w:pPr>
            <w:r>
              <w:rPr>
                <w:rFonts w:ascii="Arial" w:hAnsi="Arial" w:cs="Arial"/>
                <w:sz w:val="20"/>
                <w:szCs w:val="20"/>
              </w:rPr>
              <w:t>The Consultation Statement does not refer to the District Council’s earlier comment in this regard.</w:t>
            </w:r>
          </w:p>
          <w:p w:rsidR="008D5AD4" w:rsidRDefault="008D5AD4" w:rsidP="008D5AD4">
            <w:pPr>
              <w:rPr>
                <w:rFonts w:ascii="Arial" w:hAnsi="Arial" w:cs="Arial"/>
                <w:sz w:val="20"/>
                <w:szCs w:val="20"/>
              </w:rPr>
            </w:pPr>
          </w:p>
          <w:p w:rsidR="008D5AD4" w:rsidRDefault="008D5AD4" w:rsidP="008D5AD4">
            <w:pPr>
              <w:rPr>
                <w:rFonts w:ascii="Arial" w:hAnsi="Arial" w:cs="Arial"/>
                <w:sz w:val="20"/>
                <w:szCs w:val="20"/>
              </w:rPr>
            </w:pPr>
          </w:p>
          <w:p w:rsidR="008F584B" w:rsidRPr="00250BA3" w:rsidRDefault="008F584B" w:rsidP="008D5AD4">
            <w:pPr>
              <w:rPr>
                <w:rFonts w:ascii="Arial" w:hAnsi="Arial" w:cs="Arial"/>
                <w:sz w:val="20"/>
                <w:szCs w:val="20"/>
              </w:rPr>
            </w:pPr>
            <w:r>
              <w:rPr>
                <w:rFonts w:ascii="Arial" w:hAnsi="Arial" w:cs="Arial"/>
                <w:sz w:val="20"/>
                <w:szCs w:val="20"/>
              </w:rPr>
              <w:lastRenderedPageBreak/>
              <w:t xml:space="preserve"> </w:t>
            </w:r>
          </w:p>
        </w:tc>
      </w:tr>
      <w:tr w:rsidR="000D61DA" w:rsidTr="000D61DA">
        <w:tc>
          <w:tcPr>
            <w:tcW w:w="3085" w:type="dxa"/>
          </w:tcPr>
          <w:p w:rsidR="000D61DA" w:rsidRPr="00250BA3" w:rsidRDefault="008D5AD4">
            <w:pPr>
              <w:rPr>
                <w:rFonts w:ascii="Arial" w:hAnsi="Arial" w:cs="Arial"/>
                <w:sz w:val="20"/>
                <w:szCs w:val="20"/>
              </w:rPr>
            </w:pPr>
            <w:r>
              <w:rPr>
                <w:rFonts w:ascii="Arial" w:hAnsi="Arial" w:cs="Arial"/>
                <w:sz w:val="20"/>
                <w:szCs w:val="20"/>
              </w:rPr>
              <w:lastRenderedPageBreak/>
              <w:t>Page 20 Third paragraph after bullet points</w:t>
            </w:r>
          </w:p>
        </w:tc>
        <w:tc>
          <w:tcPr>
            <w:tcW w:w="11089" w:type="dxa"/>
          </w:tcPr>
          <w:p w:rsidR="000D61DA" w:rsidRDefault="008D5AD4">
            <w:pPr>
              <w:rPr>
                <w:rFonts w:ascii="Arial" w:hAnsi="Arial" w:cs="Arial"/>
                <w:sz w:val="20"/>
                <w:szCs w:val="20"/>
              </w:rPr>
            </w:pPr>
            <w:r>
              <w:rPr>
                <w:rFonts w:ascii="Arial" w:hAnsi="Arial" w:cs="Arial"/>
                <w:sz w:val="20"/>
                <w:szCs w:val="20"/>
              </w:rPr>
              <w:t xml:space="preserve">“….and other uses typically found on large industrial estates” is unclear. It is suggested that the phrase and other economic development uses” is used. </w:t>
            </w:r>
          </w:p>
          <w:p w:rsidR="008D5AD4" w:rsidRDefault="008D5AD4" w:rsidP="008D5AD4">
            <w:pPr>
              <w:rPr>
                <w:rFonts w:ascii="Arial" w:hAnsi="Arial" w:cs="Arial"/>
                <w:sz w:val="20"/>
                <w:szCs w:val="20"/>
              </w:rPr>
            </w:pPr>
            <w:r>
              <w:rPr>
                <w:rFonts w:ascii="Arial" w:hAnsi="Arial" w:cs="Arial"/>
                <w:sz w:val="20"/>
                <w:szCs w:val="20"/>
              </w:rPr>
              <w:t>The Consultation Statement does not refer to the District Council’s earlier comment in this regard.</w:t>
            </w:r>
          </w:p>
          <w:p w:rsidR="008D5AD4" w:rsidRPr="00250BA3" w:rsidRDefault="008D5AD4" w:rsidP="008D5AD4">
            <w:pPr>
              <w:rPr>
                <w:rFonts w:ascii="Arial" w:hAnsi="Arial" w:cs="Arial"/>
                <w:sz w:val="20"/>
                <w:szCs w:val="20"/>
              </w:rPr>
            </w:pPr>
          </w:p>
        </w:tc>
      </w:tr>
      <w:tr w:rsidR="000D61DA" w:rsidTr="000D61DA">
        <w:tc>
          <w:tcPr>
            <w:tcW w:w="3085" w:type="dxa"/>
          </w:tcPr>
          <w:p w:rsidR="000D61DA" w:rsidRPr="00250BA3" w:rsidRDefault="004B2FD6" w:rsidP="004B2FD6">
            <w:pPr>
              <w:rPr>
                <w:rFonts w:ascii="Arial" w:hAnsi="Arial" w:cs="Arial"/>
                <w:sz w:val="20"/>
                <w:szCs w:val="20"/>
              </w:rPr>
            </w:pPr>
            <w:r>
              <w:rPr>
                <w:rFonts w:ascii="Arial" w:hAnsi="Arial" w:cs="Arial"/>
                <w:sz w:val="20"/>
                <w:szCs w:val="20"/>
              </w:rPr>
              <w:t xml:space="preserve">Policies 7, 8, 9 and 10; Housing Types; Starter/ Adaptable and Self-Build Homes. </w:t>
            </w:r>
          </w:p>
        </w:tc>
        <w:tc>
          <w:tcPr>
            <w:tcW w:w="11089" w:type="dxa"/>
          </w:tcPr>
          <w:p w:rsidR="000D61DA" w:rsidRDefault="004B2FD6">
            <w:pPr>
              <w:rPr>
                <w:rFonts w:ascii="Arial" w:hAnsi="Arial" w:cs="Arial"/>
                <w:sz w:val="20"/>
                <w:szCs w:val="20"/>
              </w:rPr>
            </w:pPr>
            <w:r>
              <w:rPr>
                <w:rFonts w:ascii="Arial" w:hAnsi="Arial" w:cs="Arial"/>
                <w:sz w:val="20"/>
                <w:szCs w:val="20"/>
              </w:rPr>
              <w:t xml:space="preserve">These policies go beyond the </w:t>
            </w:r>
            <w:r w:rsidR="00A94B98">
              <w:rPr>
                <w:rFonts w:ascii="Arial" w:hAnsi="Arial" w:cs="Arial"/>
                <w:sz w:val="20"/>
                <w:szCs w:val="20"/>
              </w:rPr>
              <w:t>requirements</w:t>
            </w:r>
            <w:r>
              <w:rPr>
                <w:rFonts w:ascii="Arial" w:hAnsi="Arial" w:cs="Arial"/>
                <w:sz w:val="20"/>
                <w:szCs w:val="20"/>
              </w:rPr>
              <w:t xml:space="preserve"> of policies HG3 and HG5 of the Local Plan; and seek to overly restrict the market. </w:t>
            </w:r>
          </w:p>
          <w:p w:rsidR="00EA2CA3" w:rsidRDefault="00EA2CA3">
            <w:pPr>
              <w:rPr>
                <w:rFonts w:ascii="Arial" w:hAnsi="Arial" w:cs="Arial"/>
                <w:sz w:val="20"/>
                <w:szCs w:val="20"/>
              </w:rPr>
            </w:pPr>
          </w:p>
          <w:p w:rsidR="00EA2CA3" w:rsidRDefault="00EA2CA3" w:rsidP="00EA2CA3">
            <w:pPr>
              <w:rPr>
                <w:rFonts w:ascii="Arial" w:hAnsi="Arial" w:cs="Arial"/>
                <w:sz w:val="20"/>
                <w:szCs w:val="20"/>
              </w:rPr>
            </w:pPr>
            <w:r>
              <w:rPr>
                <w:rFonts w:ascii="Arial" w:hAnsi="Arial" w:cs="Arial"/>
                <w:sz w:val="20"/>
                <w:szCs w:val="20"/>
              </w:rPr>
              <w:t>There is conflicting evidence provided for justification in the Housing Review Report:</w:t>
            </w:r>
          </w:p>
          <w:p w:rsidR="00EA2CA3" w:rsidRDefault="00EA2CA3" w:rsidP="00EA2CA3">
            <w:pPr>
              <w:rPr>
                <w:rFonts w:ascii="Arial" w:hAnsi="Arial" w:cs="Arial"/>
                <w:sz w:val="20"/>
                <w:szCs w:val="20"/>
              </w:rPr>
            </w:pPr>
          </w:p>
          <w:p w:rsidR="00EA2CA3" w:rsidRDefault="00EA2CA3" w:rsidP="00EA2CA3">
            <w:pPr>
              <w:pStyle w:val="ListParagraph"/>
              <w:numPr>
                <w:ilvl w:val="0"/>
                <w:numId w:val="1"/>
              </w:numPr>
              <w:rPr>
                <w:rFonts w:ascii="Arial" w:hAnsi="Arial" w:cs="Arial"/>
                <w:sz w:val="20"/>
                <w:szCs w:val="20"/>
              </w:rPr>
            </w:pPr>
            <w:r>
              <w:rPr>
                <w:rFonts w:ascii="Arial" w:hAnsi="Arial" w:cs="Arial"/>
                <w:sz w:val="20"/>
                <w:szCs w:val="20"/>
              </w:rPr>
              <w:t>Average build rates show wide annual fluctuations and recent completions have not been especially excessive in comparison.</w:t>
            </w:r>
          </w:p>
          <w:p w:rsidR="00EA2CA3" w:rsidRDefault="00EA2CA3" w:rsidP="00EA2CA3">
            <w:pPr>
              <w:pStyle w:val="ListParagraph"/>
              <w:numPr>
                <w:ilvl w:val="0"/>
                <w:numId w:val="1"/>
              </w:numPr>
              <w:rPr>
                <w:rFonts w:ascii="Arial" w:hAnsi="Arial" w:cs="Arial"/>
                <w:sz w:val="20"/>
                <w:szCs w:val="20"/>
              </w:rPr>
            </w:pPr>
            <w:r>
              <w:rPr>
                <w:rFonts w:ascii="Arial" w:hAnsi="Arial" w:cs="Arial"/>
                <w:sz w:val="20"/>
                <w:szCs w:val="20"/>
              </w:rPr>
              <w:t xml:space="preserve">The population profile, health and household statistics are broadly in line with regional averages and there doesn’t appear to be the need for Wincanton to be treated a s a ‘special case’. </w:t>
            </w:r>
          </w:p>
          <w:p w:rsidR="00EA2CA3" w:rsidRDefault="00EA2CA3" w:rsidP="00EA2CA3">
            <w:pPr>
              <w:pStyle w:val="ListParagraph"/>
              <w:numPr>
                <w:ilvl w:val="0"/>
                <w:numId w:val="1"/>
              </w:numPr>
              <w:rPr>
                <w:rFonts w:ascii="Arial" w:hAnsi="Arial" w:cs="Arial"/>
                <w:sz w:val="20"/>
                <w:szCs w:val="20"/>
              </w:rPr>
            </w:pPr>
            <w:r>
              <w:rPr>
                <w:rFonts w:ascii="Arial" w:hAnsi="Arial" w:cs="Arial"/>
                <w:sz w:val="20"/>
                <w:szCs w:val="20"/>
              </w:rPr>
              <w:t xml:space="preserve">Anecdotal feedback from estate agents suggests that one-bedroom flats are difficult to sell. </w:t>
            </w:r>
          </w:p>
          <w:p w:rsidR="00EA2CA3" w:rsidRDefault="00EA2CA3" w:rsidP="00EA2CA3">
            <w:pPr>
              <w:pStyle w:val="ListParagraph"/>
              <w:numPr>
                <w:ilvl w:val="0"/>
                <w:numId w:val="1"/>
              </w:numPr>
              <w:rPr>
                <w:rFonts w:ascii="Arial" w:hAnsi="Arial" w:cs="Arial"/>
                <w:sz w:val="20"/>
                <w:szCs w:val="20"/>
              </w:rPr>
            </w:pPr>
            <w:r>
              <w:rPr>
                <w:rFonts w:ascii="Arial" w:hAnsi="Arial" w:cs="Arial"/>
                <w:sz w:val="20"/>
                <w:szCs w:val="20"/>
              </w:rPr>
              <w:t xml:space="preserve">Whilst there were 78 applicants on the Housing Register expressing an interest in being housed in Wincanton, 54% were in the lowest band of need. The source of the information regarding a local connection is not clear. </w:t>
            </w:r>
          </w:p>
          <w:p w:rsidR="00EA2CA3" w:rsidRDefault="00EA2CA3" w:rsidP="00EA2CA3">
            <w:pPr>
              <w:pStyle w:val="ListParagraph"/>
              <w:numPr>
                <w:ilvl w:val="0"/>
                <w:numId w:val="1"/>
              </w:numPr>
              <w:rPr>
                <w:rFonts w:ascii="Arial" w:hAnsi="Arial" w:cs="Arial"/>
                <w:sz w:val="20"/>
                <w:szCs w:val="20"/>
              </w:rPr>
            </w:pPr>
            <w:r>
              <w:rPr>
                <w:rFonts w:ascii="Arial" w:hAnsi="Arial" w:cs="Arial"/>
                <w:sz w:val="20"/>
                <w:szCs w:val="20"/>
              </w:rPr>
              <w:t>The conclusion that 50% of new dwellings should be of one or two-bedrooms can be ascertained from the table referred to, but only with the additional knowledge of the relative percentages of affordable, intermediate and market homes built. The table</w:t>
            </w:r>
            <w:r w:rsidR="004E2505">
              <w:rPr>
                <w:rFonts w:ascii="Arial" w:hAnsi="Arial" w:cs="Arial"/>
                <w:sz w:val="20"/>
                <w:szCs w:val="20"/>
              </w:rPr>
              <w:t xml:space="preserve"> also refers to the District as a</w:t>
            </w:r>
            <w:r>
              <w:rPr>
                <w:rFonts w:ascii="Arial" w:hAnsi="Arial" w:cs="Arial"/>
                <w:sz w:val="20"/>
                <w:szCs w:val="20"/>
              </w:rPr>
              <w:t xml:space="preserve"> whole</w:t>
            </w:r>
            <w:r w:rsidR="004E2505">
              <w:rPr>
                <w:rFonts w:ascii="Arial" w:hAnsi="Arial" w:cs="Arial"/>
                <w:sz w:val="20"/>
                <w:szCs w:val="20"/>
              </w:rPr>
              <w:t>.</w:t>
            </w:r>
          </w:p>
          <w:p w:rsidR="004E2505" w:rsidRDefault="004E2505" w:rsidP="00EA2CA3">
            <w:pPr>
              <w:pStyle w:val="ListParagraph"/>
              <w:numPr>
                <w:ilvl w:val="0"/>
                <w:numId w:val="1"/>
              </w:numPr>
              <w:rPr>
                <w:rFonts w:ascii="Arial" w:hAnsi="Arial" w:cs="Arial"/>
                <w:sz w:val="20"/>
                <w:szCs w:val="20"/>
              </w:rPr>
            </w:pPr>
            <w:r>
              <w:rPr>
                <w:rFonts w:ascii="Arial" w:hAnsi="Arial" w:cs="Arial"/>
                <w:sz w:val="20"/>
                <w:szCs w:val="20"/>
              </w:rPr>
              <w:t>There has been no interest in self-build dwellings in Wincanton.</w:t>
            </w:r>
          </w:p>
          <w:p w:rsidR="00EA2CA3" w:rsidRDefault="004E2505" w:rsidP="004E2505">
            <w:pPr>
              <w:pStyle w:val="ListParagraph"/>
              <w:numPr>
                <w:ilvl w:val="0"/>
                <w:numId w:val="1"/>
              </w:numPr>
              <w:rPr>
                <w:rFonts w:ascii="Arial" w:hAnsi="Arial" w:cs="Arial"/>
                <w:sz w:val="20"/>
                <w:szCs w:val="20"/>
              </w:rPr>
            </w:pPr>
            <w:r>
              <w:rPr>
                <w:rFonts w:ascii="Arial" w:hAnsi="Arial" w:cs="Arial"/>
                <w:sz w:val="20"/>
                <w:szCs w:val="20"/>
              </w:rPr>
              <w:t>There does not appear to be any evidence supporting the assertion that 30-40% of households in the next ten years are likely to require higher accessibility homes.</w:t>
            </w:r>
          </w:p>
          <w:p w:rsidR="004E2505" w:rsidRPr="00250BA3" w:rsidRDefault="004E2505" w:rsidP="00A70126">
            <w:pPr>
              <w:pStyle w:val="ListParagraph"/>
              <w:rPr>
                <w:rFonts w:ascii="Arial" w:hAnsi="Arial" w:cs="Arial"/>
                <w:sz w:val="20"/>
                <w:szCs w:val="20"/>
              </w:rPr>
            </w:pPr>
          </w:p>
        </w:tc>
      </w:tr>
      <w:tr w:rsidR="000D61DA" w:rsidTr="000D61DA">
        <w:tc>
          <w:tcPr>
            <w:tcW w:w="3085" w:type="dxa"/>
          </w:tcPr>
          <w:p w:rsidR="000D61DA" w:rsidRDefault="00492FCC">
            <w:pPr>
              <w:rPr>
                <w:rFonts w:ascii="Arial" w:hAnsi="Arial" w:cs="Arial"/>
                <w:sz w:val="20"/>
                <w:szCs w:val="20"/>
              </w:rPr>
            </w:pPr>
            <w:r>
              <w:rPr>
                <w:rFonts w:ascii="Arial" w:hAnsi="Arial" w:cs="Arial"/>
                <w:sz w:val="20"/>
                <w:szCs w:val="20"/>
              </w:rPr>
              <w:t xml:space="preserve">Section 7 – </w:t>
            </w:r>
            <w:r w:rsidR="006F4F43">
              <w:rPr>
                <w:rFonts w:ascii="Arial" w:hAnsi="Arial" w:cs="Arial"/>
                <w:sz w:val="20"/>
                <w:szCs w:val="20"/>
              </w:rPr>
              <w:t>E</w:t>
            </w:r>
            <w:r>
              <w:rPr>
                <w:rFonts w:ascii="Arial" w:hAnsi="Arial" w:cs="Arial"/>
                <w:sz w:val="20"/>
                <w:szCs w:val="20"/>
              </w:rPr>
              <w:t xml:space="preserve">mployment </w:t>
            </w:r>
          </w:p>
          <w:p w:rsidR="00492FCC" w:rsidRPr="00250BA3" w:rsidRDefault="00492FCC" w:rsidP="006F4F43">
            <w:pPr>
              <w:rPr>
                <w:rFonts w:ascii="Arial" w:hAnsi="Arial" w:cs="Arial"/>
                <w:sz w:val="20"/>
                <w:szCs w:val="20"/>
              </w:rPr>
            </w:pPr>
            <w:r>
              <w:rPr>
                <w:rFonts w:ascii="Arial" w:hAnsi="Arial" w:cs="Arial"/>
                <w:sz w:val="20"/>
                <w:szCs w:val="20"/>
              </w:rPr>
              <w:t xml:space="preserve">Pages 19/20 and </w:t>
            </w:r>
            <w:r w:rsidR="006F4F43">
              <w:rPr>
                <w:rFonts w:ascii="Arial" w:hAnsi="Arial" w:cs="Arial"/>
                <w:sz w:val="20"/>
                <w:szCs w:val="20"/>
              </w:rPr>
              <w:t>P</w:t>
            </w:r>
            <w:r>
              <w:rPr>
                <w:rFonts w:ascii="Arial" w:hAnsi="Arial" w:cs="Arial"/>
                <w:sz w:val="20"/>
                <w:szCs w:val="20"/>
              </w:rPr>
              <w:t>olicy 11</w:t>
            </w:r>
          </w:p>
        </w:tc>
        <w:tc>
          <w:tcPr>
            <w:tcW w:w="11089" w:type="dxa"/>
          </w:tcPr>
          <w:p w:rsidR="000D61DA" w:rsidRDefault="00933EBA" w:rsidP="006F4F43">
            <w:pPr>
              <w:rPr>
                <w:rFonts w:ascii="Arial" w:hAnsi="Arial" w:cs="Arial"/>
                <w:sz w:val="20"/>
                <w:szCs w:val="20"/>
              </w:rPr>
            </w:pPr>
            <w:r>
              <w:rPr>
                <w:rFonts w:ascii="Arial" w:hAnsi="Arial" w:cs="Arial"/>
                <w:sz w:val="20"/>
                <w:szCs w:val="20"/>
              </w:rPr>
              <w:t xml:space="preserve">As worded, the policy suggests that the continuing use of B1 premises is not a consideration; and </w:t>
            </w:r>
            <w:r w:rsidR="006F4F43">
              <w:rPr>
                <w:rFonts w:ascii="Arial" w:hAnsi="Arial" w:cs="Arial"/>
                <w:sz w:val="20"/>
                <w:szCs w:val="20"/>
              </w:rPr>
              <w:t xml:space="preserve">it </w:t>
            </w:r>
            <w:r>
              <w:rPr>
                <w:rFonts w:ascii="Arial" w:hAnsi="Arial" w:cs="Arial"/>
                <w:sz w:val="20"/>
                <w:szCs w:val="20"/>
              </w:rPr>
              <w:t xml:space="preserve">could be more clearly worded. </w:t>
            </w:r>
            <w:r w:rsidR="006F4F43">
              <w:rPr>
                <w:rFonts w:ascii="Arial" w:hAnsi="Arial" w:cs="Arial"/>
                <w:sz w:val="20"/>
                <w:szCs w:val="20"/>
              </w:rPr>
              <w:t xml:space="preserve">Local Plan Policy EP3 specifically applies to B1, B2 and B8 uses and does not limit itself to development in side of the development area. It is suggested that Policy EP3 </w:t>
            </w:r>
            <w:r w:rsidR="00A94B98">
              <w:rPr>
                <w:rFonts w:ascii="Arial" w:hAnsi="Arial" w:cs="Arial"/>
                <w:sz w:val="20"/>
                <w:szCs w:val="20"/>
              </w:rPr>
              <w:t>adequately</w:t>
            </w:r>
            <w:r w:rsidR="006F4F43">
              <w:rPr>
                <w:rFonts w:ascii="Arial" w:hAnsi="Arial" w:cs="Arial"/>
                <w:sz w:val="20"/>
                <w:szCs w:val="20"/>
              </w:rPr>
              <w:t xml:space="preserve"> addresses this issue and that the draft policy needs more thought or should be omitted. </w:t>
            </w:r>
          </w:p>
          <w:p w:rsidR="006F4F43" w:rsidRDefault="006F4F43" w:rsidP="006F4F43">
            <w:pPr>
              <w:rPr>
                <w:rFonts w:ascii="Arial" w:hAnsi="Arial" w:cs="Arial"/>
                <w:sz w:val="20"/>
                <w:szCs w:val="20"/>
              </w:rPr>
            </w:pPr>
            <w:r>
              <w:rPr>
                <w:rFonts w:ascii="Arial" w:hAnsi="Arial" w:cs="Arial"/>
                <w:sz w:val="20"/>
                <w:szCs w:val="20"/>
              </w:rPr>
              <w:t xml:space="preserve">What the District Councils’ original comments stated was actually: </w:t>
            </w:r>
          </w:p>
          <w:p w:rsidR="006F4F43" w:rsidRDefault="006F4F43" w:rsidP="006F4F43">
            <w:pPr>
              <w:rPr>
                <w:rFonts w:ascii="Arial" w:hAnsi="Arial" w:cs="Arial"/>
                <w:i/>
                <w:color w:val="000000" w:themeColor="text1"/>
                <w:sz w:val="20"/>
                <w:szCs w:val="20"/>
              </w:rPr>
            </w:pPr>
            <w:r w:rsidRPr="006F4F43">
              <w:rPr>
                <w:rFonts w:ascii="Arial" w:hAnsi="Arial" w:cs="Arial"/>
                <w:i/>
                <w:color w:val="000000" w:themeColor="text1"/>
                <w:sz w:val="20"/>
                <w:szCs w:val="20"/>
              </w:rPr>
              <w:t>Why have B1 uses been excluded? The interaction between the three bullet points is not clear and does not provide a clear policy approach for a potential applicant to follow. The first two bullets do not seem to sit well against each other. With regard to the mix of uses and their compatibility, what proportion? What is the area you are referring to? Wincanton as a whole? Or specific employment areas which should be named? LP Policy EP3 specifically applies to B1, B2 and B8 uses and does not limit itself to development inside of the development area. Suggest that the policy needs more thought or is not required as LP Policy EP3 addresses this issue.</w:t>
            </w:r>
          </w:p>
          <w:p w:rsidR="004870A5" w:rsidRDefault="004870A5" w:rsidP="006F4F43">
            <w:pPr>
              <w:rPr>
                <w:rFonts w:ascii="Arial" w:hAnsi="Arial" w:cs="Arial"/>
                <w:i/>
                <w:color w:val="000000" w:themeColor="text1"/>
                <w:sz w:val="20"/>
                <w:szCs w:val="20"/>
              </w:rPr>
            </w:pPr>
          </w:p>
          <w:p w:rsidR="004870A5" w:rsidRDefault="004870A5" w:rsidP="006F4F43">
            <w:pPr>
              <w:rPr>
                <w:rFonts w:ascii="Arial" w:hAnsi="Arial" w:cs="Arial"/>
                <w:i/>
                <w:color w:val="000000" w:themeColor="text1"/>
                <w:sz w:val="20"/>
                <w:szCs w:val="20"/>
              </w:rPr>
            </w:pPr>
          </w:p>
          <w:p w:rsidR="004870A5" w:rsidRPr="006F4F43" w:rsidRDefault="004870A5" w:rsidP="006F4F43">
            <w:pPr>
              <w:rPr>
                <w:rFonts w:ascii="Arial" w:hAnsi="Arial" w:cs="Arial"/>
                <w:b/>
                <w:i/>
                <w:color w:val="000000" w:themeColor="text1"/>
                <w:sz w:val="20"/>
                <w:szCs w:val="20"/>
              </w:rPr>
            </w:pPr>
          </w:p>
          <w:p w:rsidR="006F4F43" w:rsidRPr="00250BA3" w:rsidRDefault="006F4F43" w:rsidP="006F4F43">
            <w:pPr>
              <w:rPr>
                <w:rFonts w:ascii="Arial" w:hAnsi="Arial" w:cs="Arial"/>
                <w:sz w:val="20"/>
                <w:szCs w:val="20"/>
              </w:rPr>
            </w:pPr>
          </w:p>
        </w:tc>
      </w:tr>
      <w:tr w:rsidR="000D61DA" w:rsidTr="000D61DA">
        <w:tc>
          <w:tcPr>
            <w:tcW w:w="3085" w:type="dxa"/>
          </w:tcPr>
          <w:p w:rsidR="000D61DA" w:rsidRDefault="00724FD7">
            <w:pPr>
              <w:rPr>
                <w:rFonts w:ascii="Arial" w:hAnsi="Arial" w:cs="Arial"/>
                <w:sz w:val="20"/>
                <w:szCs w:val="20"/>
              </w:rPr>
            </w:pPr>
            <w:r>
              <w:rPr>
                <w:rFonts w:ascii="Arial" w:hAnsi="Arial" w:cs="Arial"/>
                <w:sz w:val="20"/>
                <w:szCs w:val="20"/>
              </w:rPr>
              <w:lastRenderedPageBreak/>
              <w:t>Section 7 – Employment</w:t>
            </w:r>
          </w:p>
          <w:p w:rsidR="00724FD7" w:rsidRPr="00250BA3" w:rsidRDefault="00724FD7" w:rsidP="004870A5">
            <w:pPr>
              <w:rPr>
                <w:rFonts w:ascii="Arial" w:hAnsi="Arial" w:cs="Arial"/>
                <w:sz w:val="20"/>
                <w:szCs w:val="20"/>
              </w:rPr>
            </w:pPr>
            <w:r>
              <w:rPr>
                <w:rFonts w:ascii="Arial" w:hAnsi="Arial" w:cs="Arial"/>
                <w:sz w:val="20"/>
                <w:szCs w:val="20"/>
              </w:rPr>
              <w:t xml:space="preserve">Pages 20/21 and </w:t>
            </w:r>
            <w:r w:rsidR="004870A5">
              <w:rPr>
                <w:rFonts w:ascii="Arial" w:hAnsi="Arial" w:cs="Arial"/>
                <w:sz w:val="20"/>
                <w:szCs w:val="20"/>
              </w:rPr>
              <w:t>P</w:t>
            </w:r>
            <w:r>
              <w:rPr>
                <w:rFonts w:ascii="Arial" w:hAnsi="Arial" w:cs="Arial"/>
                <w:sz w:val="20"/>
                <w:szCs w:val="20"/>
              </w:rPr>
              <w:t>olicy 12</w:t>
            </w:r>
          </w:p>
        </w:tc>
        <w:tc>
          <w:tcPr>
            <w:tcW w:w="11089" w:type="dxa"/>
          </w:tcPr>
          <w:p w:rsidR="000D61DA" w:rsidRDefault="004870A5">
            <w:pPr>
              <w:rPr>
                <w:rFonts w:ascii="Arial" w:hAnsi="Arial" w:cs="Arial"/>
                <w:sz w:val="20"/>
                <w:szCs w:val="20"/>
              </w:rPr>
            </w:pPr>
            <w:r>
              <w:rPr>
                <w:rFonts w:ascii="Arial" w:hAnsi="Arial" w:cs="Arial"/>
                <w:sz w:val="20"/>
                <w:szCs w:val="20"/>
              </w:rPr>
              <w:t>The policy needs to be more precisely worded as it is currently unclear how a judgement could be made on whether the criteria are met; for example, what would be an unacceptable level of transport movements?</w:t>
            </w:r>
          </w:p>
          <w:p w:rsidR="004870A5" w:rsidRDefault="004870A5">
            <w:pPr>
              <w:rPr>
                <w:rFonts w:ascii="Arial" w:hAnsi="Arial" w:cs="Arial"/>
                <w:sz w:val="20"/>
                <w:szCs w:val="20"/>
              </w:rPr>
            </w:pPr>
            <w:r>
              <w:rPr>
                <w:rFonts w:ascii="Arial" w:hAnsi="Arial" w:cs="Arial"/>
                <w:sz w:val="20"/>
                <w:szCs w:val="20"/>
              </w:rPr>
              <w:t xml:space="preserve">Should this apply to all economic </w:t>
            </w:r>
            <w:r w:rsidR="00A94B98">
              <w:rPr>
                <w:rFonts w:ascii="Arial" w:hAnsi="Arial" w:cs="Arial"/>
                <w:sz w:val="20"/>
                <w:szCs w:val="20"/>
              </w:rPr>
              <w:t>development</w:t>
            </w:r>
            <w:r>
              <w:rPr>
                <w:rFonts w:ascii="Arial" w:hAnsi="Arial" w:cs="Arial"/>
                <w:sz w:val="20"/>
                <w:szCs w:val="20"/>
              </w:rPr>
              <w:t xml:space="preserve"> </w:t>
            </w:r>
            <w:r w:rsidR="00A94B98">
              <w:rPr>
                <w:rFonts w:ascii="Arial" w:hAnsi="Arial" w:cs="Arial"/>
                <w:sz w:val="20"/>
                <w:szCs w:val="20"/>
              </w:rPr>
              <w:t>proposals</w:t>
            </w:r>
            <w:r>
              <w:rPr>
                <w:rFonts w:ascii="Arial" w:hAnsi="Arial" w:cs="Arial"/>
                <w:sz w:val="20"/>
                <w:szCs w:val="20"/>
              </w:rPr>
              <w:t xml:space="preserve"> or just B1, B2 or B8 uses? </w:t>
            </w:r>
          </w:p>
          <w:p w:rsidR="004870A5" w:rsidRDefault="004870A5">
            <w:pPr>
              <w:rPr>
                <w:rFonts w:ascii="Arial" w:hAnsi="Arial" w:cs="Arial"/>
                <w:sz w:val="20"/>
                <w:szCs w:val="20"/>
              </w:rPr>
            </w:pPr>
            <w:r>
              <w:rPr>
                <w:rFonts w:ascii="Arial" w:hAnsi="Arial" w:cs="Arial"/>
                <w:sz w:val="20"/>
                <w:szCs w:val="20"/>
              </w:rPr>
              <w:t>Would it apply to the town centre area?</w:t>
            </w:r>
          </w:p>
          <w:p w:rsidR="004870A5" w:rsidRPr="00250BA3" w:rsidRDefault="004870A5">
            <w:pPr>
              <w:rPr>
                <w:rFonts w:ascii="Arial" w:hAnsi="Arial" w:cs="Arial"/>
                <w:sz w:val="20"/>
                <w:szCs w:val="20"/>
              </w:rPr>
            </w:pPr>
          </w:p>
        </w:tc>
      </w:tr>
      <w:tr w:rsidR="000D61DA" w:rsidTr="000D61DA">
        <w:tc>
          <w:tcPr>
            <w:tcW w:w="3085" w:type="dxa"/>
          </w:tcPr>
          <w:p w:rsidR="000D61DA" w:rsidRPr="00250BA3" w:rsidRDefault="004A1F11">
            <w:pPr>
              <w:rPr>
                <w:rFonts w:ascii="Arial" w:hAnsi="Arial" w:cs="Arial"/>
                <w:sz w:val="20"/>
                <w:szCs w:val="20"/>
              </w:rPr>
            </w:pPr>
            <w:r>
              <w:rPr>
                <w:rFonts w:ascii="Arial" w:hAnsi="Arial" w:cs="Arial"/>
                <w:sz w:val="20"/>
                <w:szCs w:val="20"/>
              </w:rPr>
              <w:t>Policies 11 and 12 – Existing and New Empl</w:t>
            </w:r>
            <w:r w:rsidR="00722908">
              <w:rPr>
                <w:rFonts w:ascii="Arial" w:hAnsi="Arial" w:cs="Arial"/>
                <w:sz w:val="20"/>
                <w:szCs w:val="20"/>
              </w:rPr>
              <w:t>o</w:t>
            </w:r>
            <w:r>
              <w:rPr>
                <w:rFonts w:ascii="Arial" w:hAnsi="Arial" w:cs="Arial"/>
                <w:sz w:val="20"/>
                <w:szCs w:val="20"/>
              </w:rPr>
              <w:t xml:space="preserve">yment sites. </w:t>
            </w:r>
          </w:p>
        </w:tc>
        <w:tc>
          <w:tcPr>
            <w:tcW w:w="11089" w:type="dxa"/>
          </w:tcPr>
          <w:p w:rsidR="004A1F11" w:rsidRDefault="004A1F11" w:rsidP="004A1F11">
            <w:pPr>
              <w:pStyle w:val="NormalWeb"/>
              <w:rPr>
                <w:rFonts w:ascii="Arial" w:hAnsi="Arial" w:cs="Arial"/>
                <w:color w:val="000000" w:themeColor="text1"/>
                <w:sz w:val="20"/>
                <w:szCs w:val="20"/>
              </w:rPr>
            </w:pPr>
            <w:r>
              <w:rPr>
                <w:rFonts w:ascii="Arial" w:hAnsi="Arial" w:cs="Arial"/>
                <w:sz w:val="20"/>
                <w:szCs w:val="20"/>
              </w:rPr>
              <w:t xml:space="preserve">The submitted Business Needs Report does not take into account the rise in employment floorspace in a disproportionate way to net land gain; or the other economic considerations set out in the District Council’s Economic Development Monitoring Report (April 2017); or the </w:t>
            </w:r>
            <w:r w:rsidRPr="004A1F11">
              <w:rPr>
                <w:rFonts w:ascii="Helvetica" w:hAnsi="Helvetica" w:cs="Helvetica"/>
                <w:color w:val="333333"/>
                <w:sz w:val="20"/>
                <w:szCs w:val="20"/>
              </w:rPr>
              <w:t>South Somerset Employment Land Evidence</w:t>
            </w:r>
            <w:r w:rsidRPr="004A1F11">
              <w:rPr>
                <w:rFonts w:ascii="Arial" w:hAnsi="Arial" w:cs="Arial"/>
                <w:color w:val="000000" w:themeColor="text1"/>
                <w:sz w:val="20"/>
                <w:szCs w:val="20"/>
              </w:rPr>
              <w:t xml:space="preserve">: </w:t>
            </w:r>
            <w:r>
              <w:rPr>
                <w:rFonts w:ascii="Arial" w:hAnsi="Arial" w:cs="Arial"/>
                <w:color w:val="000000" w:themeColor="text1"/>
                <w:sz w:val="20"/>
                <w:szCs w:val="20"/>
              </w:rPr>
              <w:t>‘</w:t>
            </w:r>
            <w:hyperlink r:id="rId6" w:tgtFrame="_blank" w:tooltip="Long Term Economic Forecasting and Implications for Employment Sites and Premises (July 2017)" w:history="1">
              <w:r w:rsidRPr="004A1F11">
                <w:rPr>
                  <w:rStyle w:val="Hyperlink"/>
                  <w:rFonts w:ascii="Arial" w:hAnsi="Arial" w:cs="Arial"/>
                  <w:color w:val="000000" w:themeColor="text1"/>
                  <w:sz w:val="20"/>
                  <w:szCs w:val="20"/>
                  <w:u w:val="none"/>
                </w:rPr>
                <w:t>Long Term Economic Forecasting and Implications for Employment Sites and Premises</w:t>
              </w:r>
              <w:r>
                <w:rPr>
                  <w:rStyle w:val="Hyperlink"/>
                  <w:rFonts w:ascii="Arial" w:hAnsi="Arial" w:cs="Arial"/>
                  <w:color w:val="000000" w:themeColor="text1"/>
                  <w:sz w:val="20"/>
                  <w:szCs w:val="20"/>
                  <w:u w:val="none"/>
                </w:rPr>
                <w:t>’</w:t>
              </w:r>
              <w:r w:rsidRPr="004A1F11">
                <w:rPr>
                  <w:rStyle w:val="Hyperlink"/>
                  <w:rFonts w:ascii="Arial" w:hAnsi="Arial" w:cs="Arial"/>
                  <w:color w:val="000000" w:themeColor="text1"/>
                  <w:sz w:val="20"/>
                  <w:szCs w:val="20"/>
                  <w:u w:val="none"/>
                </w:rPr>
                <w:t xml:space="preserve"> (July 2017)</w:t>
              </w:r>
            </w:hyperlink>
            <w:r>
              <w:rPr>
                <w:rFonts w:ascii="Arial" w:hAnsi="Arial" w:cs="Arial"/>
                <w:color w:val="000000" w:themeColor="text1"/>
                <w:sz w:val="20"/>
                <w:szCs w:val="20"/>
              </w:rPr>
              <w:t>; and ‘</w:t>
            </w:r>
            <w:hyperlink r:id="rId7" w:tgtFrame="_blank" w:tooltip="South Somerset Employment Land Evidence: Review of FEMAs and Understanding Market Trends" w:history="1">
              <w:r w:rsidRPr="004A1F11">
                <w:rPr>
                  <w:rStyle w:val="Hyperlink"/>
                  <w:rFonts w:ascii="Arial" w:hAnsi="Arial" w:cs="Arial"/>
                  <w:color w:val="000000" w:themeColor="text1"/>
                  <w:sz w:val="20"/>
                  <w:szCs w:val="20"/>
                  <w:u w:val="none"/>
                </w:rPr>
                <w:t>Review of FEMAs and Understanding Market Trends</w:t>
              </w:r>
            </w:hyperlink>
            <w:r>
              <w:rPr>
                <w:rFonts w:ascii="Arial" w:hAnsi="Arial" w:cs="Arial"/>
                <w:color w:val="000000" w:themeColor="text1"/>
                <w:sz w:val="20"/>
                <w:szCs w:val="20"/>
              </w:rPr>
              <w:t>’.</w:t>
            </w:r>
          </w:p>
          <w:p w:rsidR="004A1F11" w:rsidRDefault="004A1F11" w:rsidP="004A1F11">
            <w:pPr>
              <w:pStyle w:val="NormalWeb"/>
              <w:rPr>
                <w:rFonts w:ascii="Arial" w:hAnsi="Arial" w:cs="Arial"/>
                <w:color w:val="000000" w:themeColor="text1"/>
                <w:sz w:val="20"/>
                <w:szCs w:val="20"/>
              </w:rPr>
            </w:pPr>
            <w:r>
              <w:rPr>
                <w:rFonts w:ascii="Arial" w:hAnsi="Arial" w:cs="Arial"/>
                <w:color w:val="000000" w:themeColor="text1"/>
                <w:sz w:val="20"/>
                <w:szCs w:val="20"/>
              </w:rPr>
              <w:t xml:space="preserve">What is becoming clearer is that business needs can be met without the sole reliance on release of new employment land. </w:t>
            </w:r>
          </w:p>
          <w:p w:rsidR="004A1F11" w:rsidRPr="004A1F11" w:rsidRDefault="004A1F11" w:rsidP="004A1F11">
            <w:pPr>
              <w:pStyle w:val="NormalWeb"/>
              <w:rPr>
                <w:rFonts w:ascii="Arial" w:hAnsi="Arial" w:cs="Arial"/>
                <w:color w:val="000000" w:themeColor="text1"/>
                <w:sz w:val="20"/>
                <w:szCs w:val="20"/>
              </w:rPr>
            </w:pPr>
            <w:r>
              <w:rPr>
                <w:rFonts w:ascii="Arial" w:hAnsi="Arial" w:cs="Arial"/>
                <w:color w:val="000000" w:themeColor="text1"/>
                <w:sz w:val="20"/>
                <w:szCs w:val="20"/>
              </w:rPr>
              <w:t xml:space="preserve">The policies do not accord with Policies EP3 and EP4 of the Local Plan. </w:t>
            </w:r>
          </w:p>
          <w:p w:rsidR="000D61DA" w:rsidRPr="00250BA3" w:rsidRDefault="000D61DA" w:rsidP="004A1F11">
            <w:pPr>
              <w:rPr>
                <w:rFonts w:ascii="Arial" w:hAnsi="Arial" w:cs="Arial"/>
                <w:sz w:val="20"/>
                <w:szCs w:val="20"/>
              </w:rPr>
            </w:pPr>
          </w:p>
        </w:tc>
      </w:tr>
      <w:tr w:rsidR="000D61DA" w:rsidTr="000D61DA">
        <w:tc>
          <w:tcPr>
            <w:tcW w:w="3085" w:type="dxa"/>
          </w:tcPr>
          <w:p w:rsidR="000D61DA" w:rsidRPr="00722908" w:rsidRDefault="00722908">
            <w:pPr>
              <w:rPr>
                <w:rFonts w:ascii="Arial" w:hAnsi="Arial" w:cs="Arial"/>
                <w:sz w:val="20"/>
                <w:szCs w:val="20"/>
              </w:rPr>
            </w:pPr>
            <w:r w:rsidRPr="00722908">
              <w:rPr>
                <w:rFonts w:ascii="Arial" w:hAnsi="Arial" w:cs="Arial"/>
                <w:sz w:val="20"/>
                <w:szCs w:val="20"/>
              </w:rPr>
              <w:t>Section 7 – Employment</w:t>
            </w:r>
          </w:p>
          <w:p w:rsidR="00722908" w:rsidRDefault="00722908">
            <w:pPr>
              <w:rPr>
                <w:rFonts w:ascii="Arial" w:hAnsi="Arial" w:cs="Arial"/>
                <w:b/>
                <w:sz w:val="20"/>
                <w:szCs w:val="20"/>
              </w:rPr>
            </w:pPr>
            <w:r w:rsidRPr="00722908">
              <w:rPr>
                <w:rFonts w:ascii="Arial" w:hAnsi="Arial" w:cs="Arial"/>
                <w:sz w:val="20"/>
                <w:szCs w:val="20"/>
              </w:rPr>
              <w:t>Page 21 and Policy 13</w:t>
            </w:r>
          </w:p>
        </w:tc>
        <w:tc>
          <w:tcPr>
            <w:tcW w:w="11089" w:type="dxa"/>
          </w:tcPr>
          <w:p w:rsidR="000D61DA" w:rsidRPr="00722908" w:rsidRDefault="00722908" w:rsidP="00722908">
            <w:pPr>
              <w:rPr>
                <w:rFonts w:ascii="Arial" w:hAnsi="Arial" w:cs="Arial"/>
                <w:sz w:val="20"/>
                <w:szCs w:val="20"/>
              </w:rPr>
            </w:pPr>
            <w:r w:rsidRPr="00722908">
              <w:rPr>
                <w:rFonts w:ascii="Arial" w:hAnsi="Arial" w:cs="Arial"/>
                <w:sz w:val="20"/>
                <w:szCs w:val="20"/>
              </w:rPr>
              <w:t xml:space="preserve">Local; Plan </w:t>
            </w:r>
            <w:r>
              <w:rPr>
                <w:rFonts w:ascii="Arial" w:hAnsi="Arial" w:cs="Arial"/>
                <w:sz w:val="20"/>
                <w:szCs w:val="20"/>
              </w:rPr>
              <w:t xml:space="preserve">Policy TA6 relates to parking standards. New developments can only be expected to address parking issues related directly to their own proposals. </w:t>
            </w:r>
          </w:p>
        </w:tc>
      </w:tr>
      <w:tr w:rsidR="000D61DA" w:rsidTr="000D61DA">
        <w:tc>
          <w:tcPr>
            <w:tcW w:w="3085" w:type="dxa"/>
          </w:tcPr>
          <w:p w:rsidR="000D61DA" w:rsidRPr="00722908" w:rsidRDefault="00722908">
            <w:pPr>
              <w:rPr>
                <w:rFonts w:ascii="Arial" w:hAnsi="Arial" w:cs="Arial"/>
                <w:sz w:val="20"/>
                <w:szCs w:val="20"/>
              </w:rPr>
            </w:pPr>
            <w:r w:rsidRPr="00722908">
              <w:rPr>
                <w:rFonts w:ascii="Arial" w:hAnsi="Arial" w:cs="Arial"/>
                <w:sz w:val="20"/>
                <w:szCs w:val="20"/>
              </w:rPr>
              <w:t>Section 9 – Environment</w:t>
            </w:r>
          </w:p>
          <w:p w:rsidR="00722908" w:rsidRPr="00722908" w:rsidRDefault="00722908">
            <w:pPr>
              <w:rPr>
                <w:rFonts w:ascii="Arial" w:hAnsi="Arial" w:cs="Arial"/>
                <w:sz w:val="20"/>
                <w:szCs w:val="20"/>
              </w:rPr>
            </w:pPr>
            <w:r w:rsidRPr="00722908">
              <w:rPr>
                <w:rFonts w:ascii="Arial" w:hAnsi="Arial" w:cs="Arial"/>
                <w:sz w:val="20"/>
                <w:szCs w:val="20"/>
              </w:rPr>
              <w:t>Pages 24/25</w:t>
            </w:r>
            <w:r>
              <w:rPr>
                <w:rFonts w:ascii="Arial" w:hAnsi="Arial" w:cs="Arial"/>
                <w:sz w:val="20"/>
                <w:szCs w:val="20"/>
              </w:rPr>
              <w:t>/26</w:t>
            </w:r>
            <w:r w:rsidRPr="00722908">
              <w:rPr>
                <w:rFonts w:ascii="Arial" w:hAnsi="Arial" w:cs="Arial"/>
                <w:sz w:val="20"/>
                <w:szCs w:val="20"/>
              </w:rPr>
              <w:t xml:space="preserve"> and Policy 14</w:t>
            </w:r>
            <w:r>
              <w:rPr>
                <w:rFonts w:ascii="Arial" w:hAnsi="Arial" w:cs="Arial"/>
                <w:sz w:val="20"/>
                <w:szCs w:val="20"/>
              </w:rPr>
              <w:t xml:space="preserve"> </w:t>
            </w:r>
          </w:p>
        </w:tc>
        <w:tc>
          <w:tcPr>
            <w:tcW w:w="11089" w:type="dxa"/>
          </w:tcPr>
          <w:p w:rsidR="000D61DA" w:rsidRPr="00722908" w:rsidRDefault="00722908">
            <w:pPr>
              <w:rPr>
                <w:rFonts w:ascii="Arial" w:hAnsi="Arial" w:cs="Arial"/>
                <w:sz w:val="20"/>
                <w:szCs w:val="20"/>
              </w:rPr>
            </w:pPr>
            <w:r>
              <w:rPr>
                <w:rFonts w:ascii="Arial" w:hAnsi="Arial" w:cs="Arial"/>
                <w:sz w:val="20"/>
                <w:szCs w:val="20"/>
              </w:rPr>
              <w:t>The access to Home Drive Playing field should be clarified. It is understood that this is currently utilised by a pre-school. Does it have only visual amenity value?</w:t>
            </w:r>
          </w:p>
        </w:tc>
      </w:tr>
    </w:tbl>
    <w:p w:rsidR="000D61DA" w:rsidRDefault="000D61DA">
      <w:pPr>
        <w:rPr>
          <w:rFonts w:ascii="Arial" w:hAnsi="Arial" w:cs="Arial"/>
          <w:b/>
          <w:sz w:val="20"/>
          <w:szCs w:val="20"/>
        </w:rPr>
      </w:pPr>
    </w:p>
    <w:p w:rsidR="000D61DA" w:rsidRPr="000D61DA" w:rsidRDefault="000D61DA">
      <w:pPr>
        <w:rPr>
          <w:rFonts w:ascii="Arial" w:hAnsi="Arial" w:cs="Arial"/>
          <w:b/>
          <w:sz w:val="20"/>
          <w:szCs w:val="20"/>
        </w:rPr>
      </w:pPr>
    </w:p>
    <w:sectPr w:rsidR="000D61DA" w:rsidRPr="000D61DA" w:rsidSect="000D61D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26973"/>
    <w:multiLevelType w:val="hybridMultilevel"/>
    <w:tmpl w:val="4BCC3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1DA"/>
    <w:rsid w:val="0009065B"/>
    <w:rsid w:val="000D61DA"/>
    <w:rsid w:val="00122704"/>
    <w:rsid w:val="00162E9F"/>
    <w:rsid w:val="001F051D"/>
    <w:rsid w:val="00250BA3"/>
    <w:rsid w:val="002A5DD8"/>
    <w:rsid w:val="002B6D1F"/>
    <w:rsid w:val="004870A5"/>
    <w:rsid w:val="00492FCC"/>
    <w:rsid w:val="00493830"/>
    <w:rsid w:val="004A1F11"/>
    <w:rsid w:val="004B2FD6"/>
    <w:rsid w:val="004E2505"/>
    <w:rsid w:val="004E443C"/>
    <w:rsid w:val="005366A0"/>
    <w:rsid w:val="006F4F43"/>
    <w:rsid w:val="00722908"/>
    <w:rsid w:val="00724FD7"/>
    <w:rsid w:val="00781145"/>
    <w:rsid w:val="008D5AD4"/>
    <w:rsid w:val="008F584B"/>
    <w:rsid w:val="00933EBA"/>
    <w:rsid w:val="00A06779"/>
    <w:rsid w:val="00A70126"/>
    <w:rsid w:val="00A94B98"/>
    <w:rsid w:val="00AB17FE"/>
    <w:rsid w:val="00BB2536"/>
    <w:rsid w:val="00BB47B1"/>
    <w:rsid w:val="00DC50D7"/>
    <w:rsid w:val="00DD4DB4"/>
    <w:rsid w:val="00EA2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6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2CA3"/>
    <w:pPr>
      <w:ind w:left="720"/>
      <w:contextualSpacing/>
    </w:pPr>
  </w:style>
  <w:style w:type="character" w:styleId="Hyperlink">
    <w:name w:val="Hyperlink"/>
    <w:basedOn w:val="DefaultParagraphFont"/>
    <w:uiPriority w:val="99"/>
    <w:semiHidden/>
    <w:unhideWhenUsed/>
    <w:rsid w:val="004A1F11"/>
    <w:rPr>
      <w:color w:val="005580"/>
      <w:u w:val="single"/>
    </w:rPr>
  </w:style>
  <w:style w:type="paragraph" w:styleId="NormalWeb">
    <w:name w:val="Normal (Web)"/>
    <w:basedOn w:val="Normal"/>
    <w:uiPriority w:val="99"/>
    <w:unhideWhenUsed/>
    <w:rsid w:val="004A1F11"/>
    <w:pPr>
      <w:spacing w:after="15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4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B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6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2CA3"/>
    <w:pPr>
      <w:ind w:left="720"/>
      <w:contextualSpacing/>
    </w:pPr>
  </w:style>
  <w:style w:type="character" w:styleId="Hyperlink">
    <w:name w:val="Hyperlink"/>
    <w:basedOn w:val="DefaultParagraphFont"/>
    <w:uiPriority w:val="99"/>
    <w:semiHidden/>
    <w:unhideWhenUsed/>
    <w:rsid w:val="004A1F11"/>
    <w:rPr>
      <w:color w:val="005580"/>
      <w:u w:val="single"/>
    </w:rPr>
  </w:style>
  <w:style w:type="paragraph" w:styleId="NormalWeb">
    <w:name w:val="Normal (Web)"/>
    <w:basedOn w:val="Normal"/>
    <w:uiPriority w:val="99"/>
    <w:unhideWhenUsed/>
    <w:rsid w:val="004A1F11"/>
    <w:pPr>
      <w:spacing w:after="15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4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B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096459">
      <w:bodyDiv w:val="1"/>
      <w:marLeft w:val="0"/>
      <w:marRight w:val="0"/>
      <w:marTop w:val="0"/>
      <w:marBottom w:val="0"/>
      <w:divBdr>
        <w:top w:val="none" w:sz="0" w:space="0" w:color="auto"/>
        <w:left w:val="none" w:sz="0" w:space="0" w:color="auto"/>
        <w:bottom w:val="none" w:sz="0" w:space="0" w:color="auto"/>
        <w:right w:val="none" w:sz="0" w:space="0" w:color="auto"/>
      </w:divBdr>
      <w:divsChild>
        <w:div w:id="1398820788">
          <w:marLeft w:val="0"/>
          <w:marRight w:val="0"/>
          <w:marTop w:val="0"/>
          <w:marBottom w:val="0"/>
          <w:divBdr>
            <w:top w:val="none" w:sz="0" w:space="0" w:color="auto"/>
            <w:left w:val="none" w:sz="0" w:space="0" w:color="auto"/>
            <w:bottom w:val="none" w:sz="0" w:space="0" w:color="auto"/>
            <w:right w:val="none" w:sz="0" w:space="0" w:color="auto"/>
          </w:divBdr>
          <w:divsChild>
            <w:div w:id="1394352856">
              <w:marLeft w:val="-300"/>
              <w:marRight w:val="0"/>
              <w:marTop w:val="0"/>
              <w:marBottom w:val="0"/>
              <w:divBdr>
                <w:top w:val="none" w:sz="0" w:space="0" w:color="auto"/>
                <w:left w:val="none" w:sz="0" w:space="0" w:color="auto"/>
                <w:bottom w:val="none" w:sz="0" w:space="0" w:color="auto"/>
                <w:right w:val="none" w:sz="0" w:space="0" w:color="auto"/>
              </w:divBdr>
              <w:divsChild>
                <w:div w:id="12989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outhsomerset.gov.uk/media/891082/short_term_-_final_report_v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uthsomerset.gov.uk/media/890009/long_term_-_final_report_v2.0.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SSDC</Company>
  <LinksUpToDate>false</LinksUpToDate>
  <CharactersWithSpaces>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Clews</dc:creator>
  <cp:lastModifiedBy>David Clews</cp:lastModifiedBy>
  <cp:revision>21</cp:revision>
  <cp:lastPrinted>2017-08-16T10:41:00Z</cp:lastPrinted>
  <dcterms:created xsi:type="dcterms:W3CDTF">2017-08-16T08:06:00Z</dcterms:created>
  <dcterms:modified xsi:type="dcterms:W3CDTF">2017-08-16T10:42:00Z</dcterms:modified>
</cp:coreProperties>
</file>