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1320"/>
        <w:gridCol w:w="1320"/>
        <w:gridCol w:w="4180"/>
      </w:tblGrid>
      <w:tr w:rsidR="005245A2" w:rsidRPr="00121D17">
        <w:trPr>
          <w:cantSplit/>
        </w:trPr>
        <w:tc>
          <w:tcPr>
            <w:tcW w:w="9680" w:type="dxa"/>
            <w:gridSpan w:val="4"/>
          </w:tcPr>
          <w:p w:rsidR="005245A2" w:rsidRPr="00121D17" w:rsidRDefault="005245A2">
            <w:pPr>
              <w:pStyle w:val="Heading3"/>
              <w:spacing w:after="0"/>
              <w:rPr>
                <w:b w:val="0"/>
                <w:color w:val="auto"/>
              </w:rPr>
            </w:pPr>
            <w:r w:rsidRPr="00121D17">
              <w:rPr>
                <w:b w:val="0"/>
                <w:color w:val="auto"/>
              </w:rPr>
              <w:t>Internal Use Only (please fill in boxes below prior to submission to Democratic Services)</w:t>
            </w:r>
          </w:p>
        </w:tc>
      </w:tr>
      <w:tr w:rsidR="005245A2" w:rsidRPr="00121D17">
        <w:trPr>
          <w:cantSplit/>
        </w:trPr>
        <w:tc>
          <w:tcPr>
            <w:tcW w:w="2860" w:type="dxa"/>
          </w:tcPr>
          <w:p w:rsidR="005245A2" w:rsidRPr="00121D17" w:rsidRDefault="005245A2">
            <w:pPr>
              <w:rPr>
                <w:b/>
                <w:bCs/>
                <w:color w:val="auto"/>
                <w:sz w:val="24"/>
              </w:rPr>
            </w:pPr>
            <w:r w:rsidRPr="00121D17">
              <w:rPr>
                <w:b/>
                <w:bCs/>
                <w:color w:val="auto"/>
                <w:sz w:val="24"/>
              </w:rPr>
              <w:t>Cleared By</w:t>
            </w:r>
          </w:p>
        </w:tc>
        <w:tc>
          <w:tcPr>
            <w:tcW w:w="1320" w:type="dxa"/>
          </w:tcPr>
          <w:p w:rsidR="005245A2" w:rsidRPr="00121D17" w:rsidRDefault="005245A2">
            <w:pPr>
              <w:rPr>
                <w:b/>
                <w:bCs/>
                <w:color w:val="auto"/>
                <w:sz w:val="24"/>
              </w:rPr>
            </w:pPr>
            <w:r w:rsidRPr="00121D17">
              <w:rPr>
                <w:b/>
                <w:bCs/>
                <w:color w:val="auto"/>
                <w:sz w:val="24"/>
              </w:rPr>
              <w:t>Yes/No</w:t>
            </w:r>
          </w:p>
        </w:tc>
        <w:tc>
          <w:tcPr>
            <w:tcW w:w="1320" w:type="dxa"/>
          </w:tcPr>
          <w:p w:rsidR="005245A2" w:rsidRPr="00121D17" w:rsidRDefault="005245A2">
            <w:pPr>
              <w:rPr>
                <w:b/>
                <w:bCs/>
                <w:color w:val="auto"/>
                <w:sz w:val="24"/>
              </w:rPr>
            </w:pPr>
            <w:r w:rsidRPr="00121D17">
              <w:rPr>
                <w:b/>
                <w:bCs/>
                <w:color w:val="auto"/>
                <w:sz w:val="24"/>
              </w:rPr>
              <w:t>Date</w:t>
            </w:r>
          </w:p>
        </w:tc>
        <w:tc>
          <w:tcPr>
            <w:tcW w:w="4180" w:type="dxa"/>
          </w:tcPr>
          <w:p w:rsidR="005245A2" w:rsidRPr="00121D17" w:rsidRDefault="005245A2">
            <w:pPr>
              <w:rPr>
                <w:b/>
                <w:bCs/>
                <w:color w:val="auto"/>
                <w:sz w:val="24"/>
              </w:rPr>
            </w:pPr>
            <w:r w:rsidRPr="00121D17">
              <w:rPr>
                <w:b/>
                <w:bCs/>
                <w:color w:val="auto"/>
                <w:sz w:val="24"/>
              </w:rPr>
              <w:t>Cleared By (name of officer)</w:t>
            </w:r>
          </w:p>
        </w:tc>
      </w:tr>
      <w:tr w:rsidR="005245A2" w:rsidRPr="00121D17">
        <w:trPr>
          <w:cantSplit/>
        </w:trPr>
        <w:tc>
          <w:tcPr>
            <w:tcW w:w="2860" w:type="dxa"/>
          </w:tcPr>
          <w:p w:rsidR="005245A2" w:rsidRPr="00121D17" w:rsidRDefault="00241FCD" w:rsidP="00241FCD">
            <w:pPr>
              <w:rPr>
                <w:color w:val="auto"/>
                <w:sz w:val="24"/>
              </w:rPr>
            </w:pPr>
            <w:r>
              <w:rPr>
                <w:color w:val="auto"/>
                <w:sz w:val="24"/>
              </w:rPr>
              <w:t>Senior Leadership Team</w:t>
            </w:r>
          </w:p>
        </w:tc>
        <w:tc>
          <w:tcPr>
            <w:tcW w:w="1320" w:type="dxa"/>
          </w:tcPr>
          <w:p w:rsidR="005245A2" w:rsidRPr="00121D17" w:rsidRDefault="005245A2">
            <w:pPr>
              <w:rPr>
                <w:color w:val="auto"/>
                <w:sz w:val="24"/>
              </w:rPr>
            </w:pPr>
          </w:p>
        </w:tc>
        <w:tc>
          <w:tcPr>
            <w:tcW w:w="1320" w:type="dxa"/>
          </w:tcPr>
          <w:p w:rsidR="005245A2" w:rsidRPr="00121D17" w:rsidRDefault="005245A2">
            <w:pPr>
              <w:rPr>
                <w:color w:val="auto"/>
                <w:sz w:val="24"/>
                <w:highlight w:val="black"/>
              </w:rPr>
            </w:pPr>
          </w:p>
        </w:tc>
        <w:tc>
          <w:tcPr>
            <w:tcW w:w="4180" w:type="dxa"/>
          </w:tcPr>
          <w:p w:rsidR="005245A2" w:rsidRPr="00121D17" w:rsidRDefault="005245A2">
            <w:pPr>
              <w:rPr>
                <w:color w:val="auto"/>
                <w:sz w:val="24"/>
              </w:rPr>
            </w:pPr>
          </w:p>
        </w:tc>
      </w:tr>
      <w:tr w:rsidR="005245A2" w:rsidRPr="00121D17">
        <w:trPr>
          <w:cantSplit/>
        </w:trPr>
        <w:tc>
          <w:tcPr>
            <w:tcW w:w="2860" w:type="dxa"/>
          </w:tcPr>
          <w:p w:rsidR="005245A2" w:rsidRPr="00121D17" w:rsidRDefault="005245A2">
            <w:pPr>
              <w:rPr>
                <w:color w:val="auto"/>
                <w:sz w:val="24"/>
              </w:rPr>
            </w:pPr>
            <w:r w:rsidRPr="00121D17">
              <w:rPr>
                <w:color w:val="auto"/>
                <w:sz w:val="24"/>
              </w:rPr>
              <w:t>Director</w:t>
            </w:r>
          </w:p>
        </w:tc>
        <w:tc>
          <w:tcPr>
            <w:tcW w:w="1320" w:type="dxa"/>
          </w:tcPr>
          <w:p w:rsidR="005245A2" w:rsidRPr="00121D17" w:rsidRDefault="005245A2">
            <w:pPr>
              <w:rPr>
                <w:color w:val="auto"/>
                <w:sz w:val="24"/>
              </w:rPr>
            </w:pPr>
          </w:p>
        </w:tc>
        <w:tc>
          <w:tcPr>
            <w:tcW w:w="1320" w:type="dxa"/>
          </w:tcPr>
          <w:p w:rsidR="005245A2" w:rsidRPr="00121D17" w:rsidRDefault="005245A2">
            <w:pPr>
              <w:rPr>
                <w:color w:val="auto"/>
                <w:sz w:val="24"/>
                <w:highlight w:val="black"/>
              </w:rPr>
            </w:pPr>
          </w:p>
        </w:tc>
        <w:tc>
          <w:tcPr>
            <w:tcW w:w="4180" w:type="dxa"/>
          </w:tcPr>
          <w:p w:rsidR="005245A2" w:rsidRPr="00121D17" w:rsidRDefault="001020D8">
            <w:pPr>
              <w:rPr>
                <w:color w:val="auto"/>
                <w:sz w:val="24"/>
              </w:rPr>
            </w:pPr>
            <w:r>
              <w:rPr>
                <w:color w:val="auto"/>
                <w:sz w:val="24"/>
              </w:rPr>
              <w:t>Martin Woods</w:t>
            </w:r>
          </w:p>
        </w:tc>
      </w:tr>
      <w:tr w:rsidR="005245A2" w:rsidRPr="00121D17">
        <w:trPr>
          <w:cantSplit/>
        </w:trPr>
        <w:tc>
          <w:tcPr>
            <w:tcW w:w="2860" w:type="dxa"/>
          </w:tcPr>
          <w:p w:rsidR="005245A2" w:rsidRPr="00121D17" w:rsidRDefault="005245A2">
            <w:pPr>
              <w:jc w:val="left"/>
              <w:rPr>
                <w:color w:val="auto"/>
                <w:sz w:val="24"/>
              </w:rPr>
            </w:pPr>
            <w:r w:rsidRPr="00121D17">
              <w:rPr>
                <w:color w:val="auto"/>
                <w:sz w:val="24"/>
              </w:rPr>
              <w:t>Portfolio Holder</w:t>
            </w:r>
          </w:p>
          <w:p w:rsidR="005245A2" w:rsidRPr="00121D17" w:rsidRDefault="005245A2">
            <w:pPr>
              <w:jc w:val="left"/>
              <w:rPr>
                <w:color w:val="auto"/>
                <w:sz w:val="24"/>
              </w:rPr>
            </w:pPr>
            <w:r w:rsidRPr="00121D17">
              <w:rPr>
                <w:color w:val="auto"/>
                <w:sz w:val="20"/>
              </w:rPr>
              <w:t>Please ensure that the relevant Portfolio and the Leader has approved this report before submitting to Democratic Services</w:t>
            </w:r>
          </w:p>
        </w:tc>
        <w:tc>
          <w:tcPr>
            <w:tcW w:w="1320" w:type="dxa"/>
          </w:tcPr>
          <w:p w:rsidR="005245A2" w:rsidRPr="00121D17" w:rsidRDefault="005245A2">
            <w:pPr>
              <w:rPr>
                <w:color w:val="auto"/>
                <w:sz w:val="24"/>
              </w:rPr>
            </w:pPr>
          </w:p>
        </w:tc>
        <w:tc>
          <w:tcPr>
            <w:tcW w:w="1320" w:type="dxa"/>
          </w:tcPr>
          <w:p w:rsidR="005245A2" w:rsidRPr="00121D17" w:rsidRDefault="005245A2">
            <w:pPr>
              <w:rPr>
                <w:color w:val="auto"/>
                <w:sz w:val="24"/>
                <w:highlight w:val="black"/>
              </w:rPr>
            </w:pPr>
          </w:p>
        </w:tc>
        <w:tc>
          <w:tcPr>
            <w:tcW w:w="4180" w:type="dxa"/>
          </w:tcPr>
          <w:p w:rsidR="005245A2" w:rsidRPr="00121D17" w:rsidRDefault="001020D8">
            <w:pPr>
              <w:rPr>
                <w:color w:val="auto"/>
                <w:sz w:val="24"/>
              </w:rPr>
            </w:pPr>
            <w:r>
              <w:rPr>
                <w:color w:val="auto"/>
                <w:sz w:val="24"/>
              </w:rPr>
              <w:t>Angie Singleton</w:t>
            </w:r>
          </w:p>
        </w:tc>
      </w:tr>
      <w:tr w:rsidR="005245A2" w:rsidRPr="00121D17">
        <w:trPr>
          <w:cantSplit/>
        </w:trPr>
        <w:tc>
          <w:tcPr>
            <w:tcW w:w="2860" w:type="dxa"/>
          </w:tcPr>
          <w:p w:rsidR="005245A2" w:rsidRPr="00121D17" w:rsidRDefault="005245A2">
            <w:pPr>
              <w:jc w:val="left"/>
              <w:rPr>
                <w:color w:val="auto"/>
                <w:sz w:val="24"/>
              </w:rPr>
            </w:pPr>
            <w:r w:rsidRPr="00121D17">
              <w:rPr>
                <w:color w:val="auto"/>
                <w:sz w:val="24"/>
              </w:rPr>
              <w:t xml:space="preserve">Cross Portfolio Implications </w:t>
            </w:r>
            <w:r w:rsidRPr="00121D17">
              <w:rPr>
                <w:color w:val="auto"/>
                <w:sz w:val="20"/>
              </w:rPr>
              <w:t>Does this report</w:t>
            </w:r>
            <w:r w:rsidRPr="00121D17">
              <w:rPr>
                <w:color w:val="auto"/>
                <w:sz w:val="24"/>
              </w:rPr>
              <w:t xml:space="preserve"> </w:t>
            </w:r>
            <w:r w:rsidRPr="00121D17">
              <w:rPr>
                <w:color w:val="auto"/>
                <w:sz w:val="20"/>
              </w:rPr>
              <w:t>have implications for more than one Portfolio?</w:t>
            </w:r>
          </w:p>
        </w:tc>
        <w:tc>
          <w:tcPr>
            <w:tcW w:w="1320" w:type="dxa"/>
          </w:tcPr>
          <w:p w:rsidR="005245A2" w:rsidRPr="00121D17" w:rsidRDefault="005245A2">
            <w:pPr>
              <w:rPr>
                <w:color w:val="auto"/>
                <w:sz w:val="24"/>
              </w:rPr>
            </w:pPr>
          </w:p>
        </w:tc>
        <w:tc>
          <w:tcPr>
            <w:tcW w:w="1320" w:type="dxa"/>
          </w:tcPr>
          <w:p w:rsidR="005245A2" w:rsidRPr="00121D17" w:rsidRDefault="005245A2">
            <w:pPr>
              <w:rPr>
                <w:color w:val="auto"/>
                <w:sz w:val="24"/>
                <w:highlight w:val="black"/>
              </w:rPr>
            </w:pPr>
          </w:p>
        </w:tc>
        <w:tc>
          <w:tcPr>
            <w:tcW w:w="4180" w:type="dxa"/>
          </w:tcPr>
          <w:p w:rsidR="005245A2" w:rsidRPr="00121D17" w:rsidRDefault="001020D8">
            <w:pPr>
              <w:rPr>
                <w:color w:val="auto"/>
                <w:sz w:val="24"/>
              </w:rPr>
            </w:pPr>
            <w:r>
              <w:rPr>
                <w:color w:val="auto"/>
                <w:sz w:val="24"/>
              </w:rPr>
              <w:t>-</w:t>
            </w:r>
          </w:p>
        </w:tc>
      </w:tr>
      <w:tr w:rsidR="005245A2" w:rsidRPr="00121D17">
        <w:trPr>
          <w:cantSplit/>
        </w:trPr>
        <w:tc>
          <w:tcPr>
            <w:tcW w:w="2860" w:type="dxa"/>
          </w:tcPr>
          <w:p w:rsidR="005245A2" w:rsidRPr="00121D17" w:rsidRDefault="005245A2">
            <w:pPr>
              <w:rPr>
                <w:color w:val="auto"/>
                <w:sz w:val="24"/>
              </w:rPr>
            </w:pPr>
            <w:r w:rsidRPr="00121D17">
              <w:rPr>
                <w:color w:val="auto"/>
                <w:sz w:val="24"/>
              </w:rPr>
              <w:t>Financial Services</w:t>
            </w:r>
          </w:p>
        </w:tc>
        <w:tc>
          <w:tcPr>
            <w:tcW w:w="1320" w:type="dxa"/>
          </w:tcPr>
          <w:p w:rsidR="005245A2" w:rsidRPr="00121D17" w:rsidRDefault="005245A2">
            <w:pPr>
              <w:rPr>
                <w:color w:val="auto"/>
                <w:sz w:val="24"/>
              </w:rPr>
            </w:pPr>
          </w:p>
        </w:tc>
        <w:tc>
          <w:tcPr>
            <w:tcW w:w="1320" w:type="dxa"/>
          </w:tcPr>
          <w:p w:rsidR="005245A2" w:rsidRPr="00121D17" w:rsidRDefault="005245A2">
            <w:pPr>
              <w:rPr>
                <w:color w:val="auto"/>
                <w:sz w:val="24"/>
              </w:rPr>
            </w:pPr>
          </w:p>
        </w:tc>
        <w:tc>
          <w:tcPr>
            <w:tcW w:w="4180" w:type="dxa"/>
          </w:tcPr>
          <w:p w:rsidR="005245A2" w:rsidRPr="00121D17" w:rsidRDefault="00860B27">
            <w:pPr>
              <w:rPr>
                <w:color w:val="auto"/>
                <w:sz w:val="24"/>
              </w:rPr>
            </w:pPr>
            <w:r>
              <w:rPr>
                <w:color w:val="auto"/>
                <w:sz w:val="24"/>
              </w:rPr>
              <w:t>Nicola Hix</w:t>
            </w:r>
          </w:p>
        </w:tc>
      </w:tr>
    </w:tbl>
    <w:p w:rsidR="005245A2" w:rsidRPr="00121D17" w:rsidRDefault="005245A2">
      <w:pPr>
        <w:rPr>
          <w:b/>
          <w:bCs/>
          <w:color w:val="auto"/>
          <w:sz w:val="20"/>
        </w:rPr>
      </w:pPr>
      <w:bookmarkStart w:id="0" w:name="areareport"/>
    </w:p>
    <w:p w:rsidR="005245A2" w:rsidRPr="00121D17" w:rsidRDefault="005245A2">
      <w:pPr>
        <w:rPr>
          <w:color w:val="auto"/>
          <w:sz w:val="20"/>
        </w:rPr>
      </w:pPr>
    </w:p>
    <w:bookmarkEnd w:id="0"/>
    <w:p w:rsidR="005245A2" w:rsidRPr="002615A6" w:rsidRDefault="005348F7" w:rsidP="002615A6">
      <w:pPr>
        <w:pStyle w:val="Heading1"/>
        <w:spacing w:after="0"/>
        <w:ind w:firstLine="0"/>
        <w:rPr>
          <w:rFonts w:ascii="Arial Black" w:hAnsi="Arial Black"/>
          <w:color w:val="auto"/>
        </w:rPr>
      </w:pPr>
      <w:r>
        <w:rPr>
          <w:rFonts w:ascii="Arial Black" w:hAnsi="Arial Black"/>
          <w:color w:val="auto"/>
        </w:rPr>
        <w:t>The Wincanton Neighbourhood Plan Referendum</w:t>
      </w:r>
    </w:p>
    <w:p w:rsidR="00F24421" w:rsidRPr="00F24421" w:rsidRDefault="00F24421" w:rsidP="00F24421"/>
    <w:tbl>
      <w:tblPr>
        <w:tblW w:w="9747" w:type="dxa"/>
        <w:tblLook w:val="0000" w:firstRow="0" w:lastRow="0" w:firstColumn="0" w:lastColumn="0" w:noHBand="0" w:noVBand="0"/>
      </w:tblPr>
      <w:tblGrid>
        <w:gridCol w:w="2835"/>
        <w:gridCol w:w="6912"/>
      </w:tblGrid>
      <w:tr w:rsidR="00F24421" w:rsidRPr="00121D17" w:rsidTr="002C1418">
        <w:tc>
          <w:tcPr>
            <w:tcW w:w="2835" w:type="dxa"/>
          </w:tcPr>
          <w:p w:rsidR="00F24421" w:rsidRPr="00121D17" w:rsidRDefault="00F24421">
            <w:pPr>
              <w:tabs>
                <w:tab w:val="left" w:pos="8613"/>
              </w:tabs>
              <w:rPr>
                <w:i/>
                <w:iCs/>
                <w:color w:val="auto"/>
              </w:rPr>
            </w:pPr>
            <w:r w:rsidRPr="00121D17">
              <w:rPr>
                <w:i/>
                <w:iCs/>
                <w:color w:val="auto"/>
              </w:rPr>
              <w:t>Executive Portfolio Holder:</w:t>
            </w:r>
          </w:p>
        </w:tc>
        <w:tc>
          <w:tcPr>
            <w:tcW w:w="6912" w:type="dxa"/>
          </w:tcPr>
          <w:p w:rsidR="00F24421" w:rsidRPr="00F24421" w:rsidRDefault="000B4808">
            <w:pPr>
              <w:tabs>
                <w:tab w:val="left" w:pos="8613"/>
              </w:tabs>
              <w:rPr>
                <w:i/>
                <w:iCs/>
                <w:color w:val="auto"/>
                <w:sz w:val="16"/>
              </w:rPr>
            </w:pPr>
            <w:r>
              <w:rPr>
                <w:i/>
                <w:iCs/>
                <w:color w:val="auto"/>
              </w:rPr>
              <w:t>Angie Singleton, Strategic Planning (Place Making)</w:t>
            </w:r>
          </w:p>
        </w:tc>
      </w:tr>
      <w:tr w:rsidR="005245A2" w:rsidRPr="00121D17" w:rsidTr="002C1418">
        <w:tc>
          <w:tcPr>
            <w:tcW w:w="2835" w:type="dxa"/>
          </w:tcPr>
          <w:p w:rsidR="005245A2" w:rsidRPr="00121D17" w:rsidRDefault="005245A2">
            <w:pPr>
              <w:tabs>
                <w:tab w:val="left" w:pos="8613"/>
              </w:tabs>
              <w:rPr>
                <w:color w:val="auto"/>
              </w:rPr>
            </w:pPr>
            <w:r w:rsidRPr="00121D17">
              <w:rPr>
                <w:i/>
                <w:iCs/>
                <w:color w:val="auto"/>
              </w:rPr>
              <w:t>Ward Member(s)</w:t>
            </w:r>
          </w:p>
        </w:tc>
        <w:tc>
          <w:tcPr>
            <w:tcW w:w="6912" w:type="dxa"/>
          </w:tcPr>
          <w:p w:rsidR="005245A2" w:rsidRPr="00121D17" w:rsidRDefault="005348F7" w:rsidP="000B4808">
            <w:pPr>
              <w:tabs>
                <w:tab w:val="left" w:pos="8613"/>
              </w:tabs>
              <w:rPr>
                <w:i/>
                <w:iCs/>
                <w:color w:val="auto"/>
              </w:rPr>
            </w:pPr>
            <w:r>
              <w:rPr>
                <w:i/>
                <w:iCs/>
                <w:color w:val="auto"/>
              </w:rPr>
              <w:t>Wincanton</w:t>
            </w:r>
            <w:r w:rsidR="00B1628B">
              <w:rPr>
                <w:i/>
                <w:iCs/>
                <w:color w:val="auto"/>
              </w:rPr>
              <w:t>; Nick Colbert and Colin Winder</w:t>
            </w:r>
          </w:p>
        </w:tc>
      </w:tr>
      <w:tr w:rsidR="005245A2" w:rsidRPr="00121D17" w:rsidTr="002C1418">
        <w:tc>
          <w:tcPr>
            <w:tcW w:w="2835" w:type="dxa"/>
          </w:tcPr>
          <w:p w:rsidR="005245A2" w:rsidRPr="00121D17" w:rsidRDefault="005245A2">
            <w:pPr>
              <w:tabs>
                <w:tab w:val="left" w:pos="8613"/>
              </w:tabs>
              <w:rPr>
                <w:color w:val="auto"/>
              </w:rPr>
            </w:pPr>
            <w:r w:rsidRPr="00121D17">
              <w:rPr>
                <w:i/>
                <w:iCs/>
                <w:color w:val="auto"/>
              </w:rPr>
              <w:t>Director:</w:t>
            </w:r>
          </w:p>
        </w:tc>
        <w:tc>
          <w:tcPr>
            <w:tcW w:w="6912" w:type="dxa"/>
          </w:tcPr>
          <w:p w:rsidR="005245A2" w:rsidRPr="00121D17" w:rsidRDefault="000B4808">
            <w:pPr>
              <w:tabs>
                <w:tab w:val="left" w:pos="8613"/>
              </w:tabs>
              <w:rPr>
                <w:i/>
                <w:iCs/>
                <w:color w:val="auto"/>
              </w:rPr>
            </w:pPr>
            <w:r>
              <w:rPr>
                <w:i/>
                <w:iCs/>
                <w:color w:val="auto"/>
              </w:rPr>
              <w:t>Martin Woods, Director, Service Delivery</w:t>
            </w:r>
          </w:p>
        </w:tc>
      </w:tr>
      <w:tr w:rsidR="005245A2" w:rsidRPr="00121D17" w:rsidTr="002C1418">
        <w:tc>
          <w:tcPr>
            <w:tcW w:w="2835" w:type="dxa"/>
          </w:tcPr>
          <w:p w:rsidR="005245A2" w:rsidRPr="00121D17" w:rsidRDefault="005245A2">
            <w:pPr>
              <w:tabs>
                <w:tab w:val="left" w:pos="8613"/>
              </w:tabs>
              <w:rPr>
                <w:i/>
                <w:iCs/>
                <w:color w:val="auto"/>
              </w:rPr>
            </w:pPr>
            <w:r w:rsidRPr="00121D17">
              <w:rPr>
                <w:i/>
                <w:iCs/>
                <w:color w:val="auto"/>
              </w:rPr>
              <w:t>Service Manager:</w:t>
            </w:r>
          </w:p>
        </w:tc>
        <w:tc>
          <w:tcPr>
            <w:tcW w:w="6912" w:type="dxa"/>
          </w:tcPr>
          <w:p w:rsidR="005245A2" w:rsidRPr="00121D17" w:rsidRDefault="000B4808">
            <w:pPr>
              <w:tabs>
                <w:tab w:val="left" w:pos="8613"/>
              </w:tabs>
              <w:rPr>
                <w:i/>
                <w:iCs/>
                <w:color w:val="auto"/>
              </w:rPr>
            </w:pPr>
            <w:r>
              <w:rPr>
                <w:i/>
                <w:iCs/>
                <w:color w:val="auto"/>
              </w:rPr>
              <w:t>Jo Wilkins, Acting Principal Spatial Planner</w:t>
            </w:r>
          </w:p>
        </w:tc>
      </w:tr>
      <w:tr w:rsidR="005245A2" w:rsidRPr="00121D17" w:rsidTr="002C1418">
        <w:tc>
          <w:tcPr>
            <w:tcW w:w="2835" w:type="dxa"/>
          </w:tcPr>
          <w:p w:rsidR="005245A2" w:rsidRPr="00121D17" w:rsidRDefault="005245A2">
            <w:pPr>
              <w:tabs>
                <w:tab w:val="left" w:pos="8613"/>
              </w:tabs>
              <w:rPr>
                <w:color w:val="auto"/>
              </w:rPr>
            </w:pPr>
            <w:r w:rsidRPr="00121D17">
              <w:rPr>
                <w:i/>
                <w:iCs/>
                <w:color w:val="auto"/>
              </w:rPr>
              <w:t>Lead Officer:</w:t>
            </w:r>
          </w:p>
        </w:tc>
        <w:tc>
          <w:tcPr>
            <w:tcW w:w="6912" w:type="dxa"/>
          </w:tcPr>
          <w:p w:rsidR="005245A2" w:rsidRPr="00121D17" w:rsidRDefault="000B4808">
            <w:pPr>
              <w:tabs>
                <w:tab w:val="left" w:pos="8613"/>
              </w:tabs>
              <w:rPr>
                <w:i/>
                <w:iCs/>
                <w:color w:val="auto"/>
              </w:rPr>
            </w:pPr>
            <w:r>
              <w:rPr>
                <w:i/>
                <w:iCs/>
                <w:color w:val="auto"/>
              </w:rPr>
              <w:t>David Clews, Spatial Planner</w:t>
            </w:r>
          </w:p>
        </w:tc>
      </w:tr>
      <w:tr w:rsidR="005245A2" w:rsidRPr="00121D17" w:rsidTr="002C1418">
        <w:tc>
          <w:tcPr>
            <w:tcW w:w="2835" w:type="dxa"/>
          </w:tcPr>
          <w:p w:rsidR="005245A2" w:rsidRPr="00121D17" w:rsidRDefault="005245A2">
            <w:pPr>
              <w:tabs>
                <w:tab w:val="left" w:pos="8613"/>
              </w:tabs>
              <w:rPr>
                <w:color w:val="auto"/>
              </w:rPr>
            </w:pPr>
            <w:r w:rsidRPr="00121D17">
              <w:rPr>
                <w:i/>
                <w:iCs/>
                <w:color w:val="auto"/>
              </w:rPr>
              <w:t>Contact Details:</w:t>
            </w:r>
          </w:p>
        </w:tc>
        <w:tc>
          <w:tcPr>
            <w:tcW w:w="6912" w:type="dxa"/>
          </w:tcPr>
          <w:p w:rsidR="005245A2" w:rsidRPr="00121D17" w:rsidRDefault="000B4808" w:rsidP="000B4808">
            <w:pPr>
              <w:tabs>
                <w:tab w:val="left" w:pos="8613"/>
              </w:tabs>
              <w:rPr>
                <w:i/>
                <w:iCs/>
                <w:color w:val="auto"/>
              </w:rPr>
            </w:pPr>
            <w:r>
              <w:rPr>
                <w:i/>
                <w:iCs/>
                <w:color w:val="auto"/>
              </w:rPr>
              <w:t>david.clews</w:t>
            </w:r>
            <w:r w:rsidR="005245A2" w:rsidRPr="00121D17">
              <w:rPr>
                <w:i/>
                <w:iCs/>
                <w:color w:val="auto"/>
              </w:rPr>
              <w:t>@southsomerset.gov.uk or 01</w:t>
            </w:r>
            <w:r>
              <w:rPr>
                <w:i/>
                <w:iCs/>
                <w:color w:val="auto"/>
              </w:rPr>
              <w:t>935 462054</w:t>
            </w:r>
          </w:p>
        </w:tc>
      </w:tr>
    </w:tbl>
    <w:p w:rsidR="005245A2" w:rsidRDefault="005245A2">
      <w:pPr>
        <w:tabs>
          <w:tab w:val="left" w:pos="8613"/>
        </w:tabs>
        <w:ind w:left="-1"/>
        <w:rPr>
          <w:color w:val="auto"/>
        </w:rPr>
      </w:pPr>
    </w:p>
    <w:p w:rsidR="005245A2" w:rsidRPr="00F24421" w:rsidRDefault="005245A2">
      <w:pPr>
        <w:tabs>
          <w:tab w:val="left" w:pos="8613"/>
        </w:tabs>
        <w:ind w:left="-1"/>
        <w:rPr>
          <w:color w:val="auto"/>
        </w:rPr>
      </w:pPr>
    </w:p>
    <w:p w:rsidR="005245A2" w:rsidRPr="00121D17" w:rsidRDefault="005245A2">
      <w:pPr>
        <w:tabs>
          <w:tab w:val="left" w:pos="0"/>
          <w:tab w:val="left" w:pos="8620"/>
        </w:tabs>
        <w:rPr>
          <w:rFonts w:eastAsia="Arial Unicode MS"/>
          <w:b/>
          <w:bCs/>
          <w:color w:val="auto"/>
          <w:sz w:val="24"/>
        </w:rPr>
      </w:pPr>
      <w:r w:rsidRPr="00121D17">
        <w:rPr>
          <w:b/>
          <w:bCs/>
          <w:color w:val="auto"/>
          <w:sz w:val="24"/>
        </w:rPr>
        <w:t>Purpose of the Report</w:t>
      </w:r>
    </w:p>
    <w:p w:rsidR="005245A2" w:rsidRDefault="005245A2">
      <w:pPr>
        <w:rPr>
          <w:color w:val="auto"/>
          <w:szCs w:val="24"/>
        </w:rPr>
      </w:pPr>
    </w:p>
    <w:p w:rsidR="006619AE" w:rsidRPr="006619AE" w:rsidRDefault="006619AE" w:rsidP="00D03760">
      <w:pPr>
        <w:pStyle w:val="ListParagraph"/>
        <w:numPr>
          <w:ilvl w:val="0"/>
          <w:numId w:val="26"/>
        </w:numPr>
        <w:ind w:left="426" w:hanging="426"/>
        <w:jc w:val="left"/>
        <w:rPr>
          <w:color w:val="auto"/>
          <w:szCs w:val="24"/>
        </w:rPr>
      </w:pPr>
      <w:r>
        <w:rPr>
          <w:color w:val="auto"/>
          <w:szCs w:val="24"/>
        </w:rPr>
        <w:t>To note the progress that has been made on the preparation of the Wincanton Neighbourhood Plan; to agree the independent Examiner’s report and recommendations for Proposed Modifications; and to set out the process for ‘making’ the plan following a</w:t>
      </w:r>
      <w:r w:rsidR="00213C46">
        <w:rPr>
          <w:color w:val="auto"/>
          <w:szCs w:val="24"/>
        </w:rPr>
        <w:t xml:space="preserve"> </w:t>
      </w:r>
      <w:r>
        <w:rPr>
          <w:color w:val="auto"/>
          <w:szCs w:val="24"/>
        </w:rPr>
        <w:t>favourable local refer</w:t>
      </w:r>
      <w:r w:rsidR="00213C46">
        <w:rPr>
          <w:color w:val="auto"/>
          <w:szCs w:val="24"/>
        </w:rPr>
        <w:t>endum to be organised by the District Council.</w:t>
      </w:r>
    </w:p>
    <w:p w:rsidR="005245A2" w:rsidRDefault="005245A2">
      <w:pPr>
        <w:tabs>
          <w:tab w:val="left" w:pos="0"/>
          <w:tab w:val="left" w:pos="8620"/>
        </w:tabs>
        <w:rPr>
          <w:color w:val="auto"/>
          <w:szCs w:val="24"/>
        </w:rPr>
      </w:pPr>
    </w:p>
    <w:p w:rsidR="005245A2" w:rsidRPr="002B20B3" w:rsidRDefault="005245A2">
      <w:pPr>
        <w:tabs>
          <w:tab w:val="left" w:pos="0"/>
          <w:tab w:val="left" w:pos="8620"/>
        </w:tabs>
        <w:rPr>
          <w:b/>
          <w:bCs/>
          <w:color w:val="auto"/>
        </w:rPr>
      </w:pPr>
      <w:r w:rsidRPr="00121D17">
        <w:rPr>
          <w:b/>
          <w:bCs/>
          <w:color w:val="auto"/>
          <w:sz w:val="24"/>
        </w:rPr>
        <w:t xml:space="preserve">Forward Plan </w:t>
      </w:r>
    </w:p>
    <w:p w:rsidR="005245A2" w:rsidRPr="00F24421" w:rsidRDefault="005245A2">
      <w:pPr>
        <w:tabs>
          <w:tab w:val="left" w:pos="0"/>
          <w:tab w:val="left" w:pos="8620"/>
        </w:tabs>
        <w:rPr>
          <w:bCs/>
          <w:color w:val="auto"/>
        </w:rPr>
      </w:pPr>
    </w:p>
    <w:p w:rsidR="005245A2" w:rsidRDefault="005245A2" w:rsidP="00A73C69">
      <w:pPr>
        <w:pStyle w:val="ListParagraph"/>
        <w:numPr>
          <w:ilvl w:val="0"/>
          <w:numId w:val="44"/>
        </w:numPr>
        <w:tabs>
          <w:tab w:val="left" w:pos="0"/>
          <w:tab w:val="left" w:pos="8620"/>
        </w:tabs>
        <w:ind w:left="426" w:hanging="426"/>
        <w:jc w:val="left"/>
        <w:rPr>
          <w:color w:val="auto"/>
          <w:szCs w:val="24"/>
        </w:rPr>
      </w:pPr>
      <w:r w:rsidRPr="00393137">
        <w:rPr>
          <w:color w:val="auto"/>
          <w:szCs w:val="24"/>
        </w:rPr>
        <w:t xml:space="preserve">This report appeared on the District </w:t>
      </w:r>
      <w:r w:rsidR="003E0242">
        <w:rPr>
          <w:color w:val="auto"/>
          <w:szCs w:val="24"/>
        </w:rPr>
        <w:t>Executive Forward Plan</w:t>
      </w:r>
      <w:r w:rsidRPr="00393137">
        <w:rPr>
          <w:color w:val="auto"/>
          <w:szCs w:val="24"/>
        </w:rPr>
        <w:t xml:space="preserve"> with a</w:t>
      </w:r>
      <w:r w:rsidR="000D4BAB" w:rsidRPr="00393137">
        <w:rPr>
          <w:color w:val="auto"/>
          <w:szCs w:val="24"/>
        </w:rPr>
        <w:t>n</w:t>
      </w:r>
      <w:r w:rsidRPr="00393137">
        <w:rPr>
          <w:color w:val="auto"/>
          <w:szCs w:val="24"/>
        </w:rPr>
        <w:t xml:space="preserve"> anticipated Committee date of</w:t>
      </w:r>
      <w:r w:rsidR="00393137" w:rsidRPr="00393137">
        <w:rPr>
          <w:color w:val="auto"/>
          <w:szCs w:val="24"/>
        </w:rPr>
        <w:t xml:space="preserve"> </w:t>
      </w:r>
      <w:r w:rsidR="00AD0A29">
        <w:rPr>
          <w:color w:val="auto"/>
          <w:szCs w:val="24"/>
        </w:rPr>
        <w:t>December</w:t>
      </w:r>
      <w:r w:rsidR="00393137" w:rsidRPr="00393137">
        <w:rPr>
          <w:color w:val="auto"/>
          <w:szCs w:val="24"/>
        </w:rPr>
        <w:t xml:space="preserve"> 2017. </w:t>
      </w:r>
    </w:p>
    <w:p w:rsidR="00393137" w:rsidRPr="00393137" w:rsidRDefault="00393137" w:rsidP="00393137">
      <w:pPr>
        <w:pStyle w:val="ListParagraph"/>
        <w:tabs>
          <w:tab w:val="left" w:pos="0"/>
          <w:tab w:val="left" w:pos="8620"/>
        </w:tabs>
        <w:ind w:left="426"/>
        <w:rPr>
          <w:color w:val="auto"/>
          <w:szCs w:val="24"/>
        </w:rPr>
      </w:pPr>
    </w:p>
    <w:p w:rsidR="005245A2" w:rsidRPr="00121D17" w:rsidRDefault="005245A2" w:rsidP="00F24421">
      <w:pPr>
        <w:pStyle w:val="Heading3"/>
        <w:spacing w:after="0"/>
        <w:rPr>
          <w:color w:val="auto"/>
        </w:rPr>
      </w:pPr>
      <w:r w:rsidRPr="00121D17">
        <w:rPr>
          <w:color w:val="auto"/>
        </w:rPr>
        <w:t>Public Interest</w:t>
      </w:r>
    </w:p>
    <w:p w:rsidR="00F24421" w:rsidRDefault="00F24421" w:rsidP="00F24421">
      <w:pPr>
        <w:rPr>
          <w:i/>
          <w:iCs/>
          <w:color w:val="auto"/>
        </w:rPr>
      </w:pPr>
    </w:p>
    <w:p w:rsidR="00393137" w:rsidRDefault="00776451" w:rsidP="00A73C69">
      <w:pPr>
        <w:pStyle w:val="ListParagraph"/>
        <w:numPr>
          <w:ilvl w:val="0"/>
          <w:numId w:val="44"/>
        </w:numPr>
        <w:autoSpaceDE w:val="0"/>
        <w:autoSpaceDN w:val="0"/>
        <w:adjustRightInd w:val="0"/>
        <w:spacing w:before="120" w:after="120"/>
        <w:ind w:left="426" w:hanging="426"/>
        <w:jc w:val="left"/>
        <w:rPr>
          <w:rFonts w:cs="Arial"/>
          <w:color w:val="auto"/>
          <w:szCs w:val="22"/>
          <w:lang w:eastAsia="en-GB"/>
        </w:rPr>
      </w:pPr>
      <w:r>
        <w:rPr>
          <w:rFonts w:cs="Arial"/>
          <w:color w:val="auto"/>
          <w:szCs w:val="22"/>
          <w:lang w:eastAsia="en-GB"/>
        </w:rPr>
        <w:t xml:space="preserve">The Neighbourhood Plan represents the views of Wincanton Town Council and other stakeholders </w:t>
      </w:r>
      <w:r w:rsidR="00B918ED">
        <w:rPr>
          <w:rFonts w:cs="Arial"/>
          <w:color w:val="auto"/>
          <w:szCs w:val="22"/>
          <w:lang w:eastAsia="en-GB"/>
        </w:rPr>
        <w:t xml:space="preserve">on the preferred approach to future development in the town. This has been the subject of Independent Examination by a qualified person and </w:t>
      </w:r>
      <w:r w:rsidR="000A0BF7">
        <w:rPr>
          <w:rFonts w:cs="Arial"/>
          <w:color w:val="auto"/>
          <w:szCs w:val="22"/>
          <w:lang w:eastAsia="en-GB"/>
        </w:rPr>
        <w:t>i</w:t>
      </w:r>
      <w:r w:rsidR="00B918ED">
        <w:rPr>
          <w:rFonts w:cs="Arial"/>
          <w:color w:val="auto"/>
          <w:szCs w:val="22"/>
          <w:lang w:eastAsia="en-GB"/>
        </w:rPr>
        <w:t>f the Council agree with the Examiner’s report and recommendations for Proposed Modifications, the Plan will then be subject to a referendum of all those in the community on the Elect</w:t>
      </w:r>
      <w:r w:rsidR="00A55A0E">
        <w:rPr>
          <w:rFonts w:cs="Arial"/>
          <w:color w:val="auto"/>
          <w:szCs w:val="22"/>
          <w:lang w:eastAsia="en-GB"/>
        </w:rPr>
        <w:t>oral Register. The referendum will be</w:t>
      </w:r>
      <w:r w:rsidR="00B918ED">
        <w:rPr>
          <w:rFonts w:cs="Arial"/>
          <w:color w:val="auto"/>
          <w:szCs w:val="22"/>
          <w:lang w:eastAsia="en-GB"/>
        </w:rPr>
        <w:t xml:space="preserve"> on whether they agree with the modified Plan’s content and </w:t>
      </w:r>
      <w:r w:rsidR="003C60CA">
        <w:rPr>
          <w:rFonts w:cs="Arial"/>
          <w:color w:val="auto"/>
          <w:szCs w:val="22"/>
          <w:lang w:eastAsia="en-GB"/>
        </w:rPr>
        <w:t>if</w:t>
      </w:r>
      <w:r w:rsidR="00B918ED">
        <w:rPr>
          <w:rFonts w:cs="Arial"/>
          <w:color w:val="auto"/>
          <w:szCs w:val="22"/>
          <w:lang w:eastAsia="en-GB"/>
        </w:rPr>
        <w:t xml:space="preserve"> it should be used in the determination of planning applications.</w:t>
      </w:r>
    </w:p>
    <w:p w:rsidR="00CA360C" w:rsidRDefault="00CA360C" w:rsidP="00CA360C">
      <w:pPr>
        <w:pStyle w:val="ListParagraph"/>
        <w:autoSpaceDE w:val="0"/>
        <w:autoSpaceDN w:val="0"/>
        <w:adjustRightInd w:val="0"/>
        <w:spacing w:before="120" w:after="120"/>
        <w:ind w:left="426"/>
        <w:jc w:val="left"/>
        <w:rPr>
          <w:rFonts w:cs="Arial"/>
          <w:color w:val="auto"/>
          <w:szCs w:val="22"/>
          <w:lang w:eastAsia="en-GB"/>
        </w:rPr>
      </w:pPr>
    </w:p>
    <w:p w:rsidR="00CA360C" w:rsidRDefault="00CA360C" w:rsidP="00A73C69">
      <w:pPr>
        <w:pStyle w:val="ListParagraph"/>
        <w:numPr>
          <w:ilvl w:val="0"/>
          <w:numId w:val="44"/>
        </w:numPr>
        <w:autoSpaceDE w:val="0"/>
        <w:autoSpaceDN w:val="0"/>
        <w:adjustRightInd w:val="0"/>
        <w:spacing w:before="120" w:after="120"/>
        <w:ind w:left="426" w:hanging="426"/>
        <w:jc w:val="left"/>
        <w:rPr>
          <w:rFonts w:cs="Arial"/>
          <w:color w:val="auto"/>
          <w:szCs w:val="22"/>
          <w:lang w:eastAsia="en-GB"/>
        </w:rPr>
      </w:pPr>
      <w:r>
        <w:rPr>
          <w:rFonts w:cs="Arial"/>
          <w:color w:val="auto"/>
          <w:szCs w:val="22"/>
          <w:lang w:eastAsia="en-GB"/>
        </w:rPr>
        <w:t>The Neighbourhood Plan has been the subject of resident and business surveys, public meetings and consultation events; and the Town Council have a dedicated section on its website in association with this process.</w:t>
      </w:r>
    </w:p>
    <w:p w:rsidR="009B1E4A" w:rsidRDefault="009B1E4A" w:rsidP="009B1E4A">
      <w:pPr>
        <w:pStyle w:val="ListParagraph"/>
        <w:autoSpaceDE w:val="0"/>
        <w:autoSpaceDN w:val="0"/>
        <w:adjustRightInd w:val="0"/>
        <w:spacing w:before="120" w:after="120"/>
        <w:ind w:left="426"/>
        <w:jc w:val="left"/>
        <w:rPr>
          <w:rFonts w:cs="Arial"/>
          <w:color w:val="auto"/>
          <w:szCs w:val="22"/>
          <w:lang w:eastAsia="en-GB"/>
        </w:rPr>
      </w:pPr>
    </w:p>
    <w:p w:rsidR="009B1E4A" w:rsidRDefault="009B1E4A" w:rsidP="00AC5571">
      <w:pPr>
        <w:pStyle w:val="ListParagraph"/>
        <w:autoSpaceDE w:val="0"/>
        <w:autoSpaceDN w:val="0"/>
        <w:adjustRightInd w:val="0"/>
        <w:spacing w:before="120" w:after="120"/>
        <w:ind w:left="360"/>
        <w:jc w:val="left"/>
        <w:rPr>
          <w:rFonts w:cs="Arial"/>
          <w:color w:val="auto"/>
          <w:szCs w:val="22"/>
          <w:lang w:eastAsia="en-GB"/>
        </w:rPr>
      </w:pPr>
    </w:p>
    <w:p w:rsidR="009B1E4A" w:rsidRDefault="009B1E4A" w:rsidP="00AC5571">
      <w:pPr>
        <w:pStyle w:val="ListParagraph"/>
        <w:autoSpaceDE w:val="0"/>
        <w:autoSpaceDN w:val="0"/>
        <w:adjustRightInd w:val="0"/>
        <w:spacing w:before="120" w:after="120"/>
        <w:ind w:left="360"/>
        <w:jc w:val="left"/>
        <w:rPr>
          <w:rFonts w:cs="Arial"/>
          <w:color w:val="auto"/>
          <w:szCs w:val="22"/>
          <w:lang w:eastAsia="en-GB"/>
        </w:rPr>
      </w:pPr>
    </w:p>
    <w:p w:rsidR="005245A2" w:rsidRPr="00121D17" w:rsidRDefault="005245A2" w:rsidP="00AC5571">
      <w:pPr>
        <w:pStyle w:val="ListParagraph"/>
        <w:autoSpaceDE w:val="0"/>
        <w:autoSpaceDN w:val="0"/>
        <w:adjustRightInd w:val="0"/>
        <w:spacing w:before="120" w:after="120"/>
        <w:ind w:left="360"/>
        <w:jc w:val="left"/>
        <w:rPr>
          <w:rFonts w:eastAsia="Arial Unicode MS"/>
          <w:b/>
          <w:bCs/>
          <w:color w:val="auto"/>
          <w:sz w:val="24"/>
        </w:rPr>
      </w:pPr>
      <w:r w:rsidRPr="00121D17">
        <w:rPr>
          <w:b/>
          <w:bCs/>
          <w:color w:val="auto"/>
          <w:sz w:val="24"/>
        </w:rPr>
        <w:lastRenderedPageBreak/>
        <w:t>Recommendation</w:t>
      </w:r>
      <w:r w:rsidR="00F24421">
        <w:rPr>
          <w:b/>
          <w:bCs/>
          <w:color w:val="auto"/>
          <w:sz w:val="24"/>
        </w:rPr>
        <w:t>s</w:t>
      </w:r>
    </w:p>
    <w:p w:rsidR="005245A2" w:rsidRDefault="005245A2">
      <w:pPr>
        <w:tabs>
          <w:tab w:val="left" w:pos="0"/>
          <w:tab w:val="left" w:pos="8620"/>
        </w:tabs>
        <w:rPr>
          <w:color w:val="auto"/>
          <w:szCs w:val="24"/>
        </w:rPr>
      </w:pPr>
    </w:p>
    <w:p w:rsidR="00324797" w:rsidRPr="001A313F" w:rsidRDefault="00324797" w:rsidP="00A73C69">
      <w:pPr>
        <w:pStyle w:val="ListParagraph"/>
        <w:numPr>
          <w:ilvl w:val="0"/>
          <w:numId w:val="44"/>
        </w:numPr>
        <w:tabs>
          <w:tab w:val="left" w:pos="0"/>
          <w:tab w:val="left" w:pos="426"/>
          <w:tab w:val="left" w:pos="8620"/>
        </w:tabs>
        <w:ind w:left="426" w:hanging="426"/>
        <w:rPr>
          <w:color w:val="auto"/>
          <w:szCs w:val="24"/>
        </w:rPr>
      </w:pPr>
      <w:r w:rsidRPr="001A313F">
        <w:rPr>
          <w:color w:val="auto"/>
          <w:szCs w:val="24"/>
        </w:rPr>
        <w:t>That the District Executive</w:t>
      </w:r>
      <w:r w:rsidR="001A313F" w:rsidRPr="001A313F">
        <w:rPr>
          <w:color w:val="auto"/>
          <w:szCs w:val="24"/>
        </w:rPr>
        <w:t xml:space="preserve"> </w:t>
      </w:r>
    </w:p>
    <w:p w:rsidR="00324797" w:rsidRPr="00121D17" w:rsidRDefault="00324797">
      <w:pPr>
        <w:tabs>
          <w:tab w:val="left" w:pos="0"/>
          <w:tab w:val="left" w:pos="8620"/>
        </w:tabs>
        <w:rPr>
          <w:color w:val="auto"/>
          <w:szCs w:val="24"/>
        </w:rPr>
      </w:pPr>
    </w:p>
    <w:p w:rsidR="00751B54" w:rsidRPr="00387397" w:rsidRDefault="00751B54" w:rsidP="00D03760">
      <w:pPr>
        <w:pStyle w:val="BodyText3"/>
        <w:numPr>
          <w:ilvl w:val="0"/>
          <w:numId w:val="16"/>
        </w:numPr>
        <w:jc w:val="left"/>
        <w:rPr>
          <w:i w:val="0"/>
          <w:color w:val="auto"/>
          <w:szCs w:val="24"/>
        </w:rPr>
      </w:pPr>
      <w:r>
        <w:rPr>
          <w:i w:val="0"/>
          <w:color w:val="auto"/>
        </w:rPr>
        <w:t>agrees to the Examiner’s report and recommendations</w:t>
      </w:r>
      <w:r w:rsidR="004C51EF">
        <w:rPr>
          <w:i w:val="0"/>
          <w:color w:val="auto"/>
        </w:rPr>
        <w:t xml:space="preserve"> for Proposed Modifications </w:t>
      </w:r>
      <w:r w:rsidR="006A53C9">
        <w:rPr>
          <w:i w:val="0"/>
          <w:color w:val="auto"/>
        </w:rPr>
        <w:t>to</w:t>
      </w:r>
      <w:r>
        <w:rPr>
          <w:i w:val="0"/>
          <w:color w:val="auto"/>
        </w:rPr>
        <w:t xml:space="preserve"> the Wincanton Neighbourhood Plan.</w:t>
      </w:r>
    </w:p>
    <w:p w:rsidR="00387397" w:rsidRPr="005348F7" w:rsidRDefault="00387397" w:rsidP="00387397">
      <w:pPr>
        <w:pStyle w:val="BodyText3"/>
        <w:ind w:left="720"/>
        <w:jc w:val="left"/>
        <w:rPr>
          <w:i w:val="0"/>
          <w:color w:val="auto"/>
          <w:szCs w:val="24"/>
        </w:rPr>
      </w:pPr>
    </w:p>
    <w:p w:rsidR="00751B54" w:rsidRPr="0024670C" w:rsidRDefault="00751B54" w:rsidP="00D03760">
      <w:pPr>
        <w:pStyle w:val="BodyText3"/>
        <w:numPr>
          <w:ilvl w:val="0"/>
          <w:numId w:val="16"/>
        </w:numPr>
        <w:jc w:val="left"/>
        <w:rPr>
          <w:i w:val="0"/>
          <w:color w:val="auto"/>
          <w:szCs w:val="24"/>
        </w:rPr>
      </w:pPr>
      <w:r>
        <w:rPr>
          <w:i w:val="0"/>
          <w:color w:val="auto"/>
        </w:rPr>
        <w:t>agrees to the Council organising a</w:t>
      </w:r>
      <w:r w:rsidR="000446E7">
        <w:rPr>
          <w:i w:val="0"/>
          <w:color w:val="auto"/>
        </w:rPr>
        <w:t xml:space="preserve"> </w:t>
      </w:r>
      <w:r>
        <w:rPr>
          <w:i w:val="0"/>
          <w:color w:val="auto"/>
        </w:rPr>
        <w:t xml:space="preserve">referendum for local people on the </w:t>
      </w:r>
      <w:r w:rsidR="00387397">
        <w:rPr>
          <w:i w:val="0"/>
          <w:color w:val="auto"/>
        </w:rPr>
        <w:t>Electoral R</w:t>
      </w:r>
      <w:r>
        <w:rPr>
          <w:i w:val="0"/>
          <w:color w:val="auto"/>
        </w:rPr>
        <w:t xml:space="preserve">egister as to whether they want South Somerset District Council to use the Neighbourhood Plan for Wincanton to help it decide planning applications in the neighbourhood area. </w:t>
      </w:r>
    </w:p>
    <w:p w:rsidR="001A313F" w:rsidRPr="001A313F" w:rsidRDefault="001A313F" w:rsidP="001A313F">
      <w:pPr>
        <w:pStyle w:val="ListParagraph"/>
        <w:tabs>
          <w:tab w:val="left" w:pos="0"/>
          <w:tab w:val="left" w:pos="567"/>
          <w:tab w:val="left" w:pos="8620"/>
        </w:tabs>
        <w:rPr>
          <w:color w:val="auto"/>
          <w:sz w:val="23"/>
          <w:szCs w:val="24"/>
        </w:rPr>
      </w:pPr>
    </w:p>
    <w:p w:rsidR="005245A2" w:rsidRPr="00AD0A29" w:rsidRDefault="00AD0A29" w:rsidP="00D03760">
      <w:pPr>
        <w:numPr>
          <w:ilvl w:val="0"/>
          <w:numId w:val="16"/>
        </w:numPr>
        <w:tabs>
          <w:tab w:val="left" w:pos="0"/>
          <w:tab w:val="left" w:pos="567"/>
          <w:tab w:val="left" w:pos="8620"/>
        </w:tabs>
        <w:autoSpaceDE w:val="0"/>
        <w:autoSpaceDN w:val="0"/>
        <w:adjustRightInd w:val="0"/>
        <w:ind w:left="709"/>
        <w:rPr>
          <w:color w:val="auto"/>
          <w:szCs w:val="24"/>
        </w:rPr>
      </w:pPr>
      <w:r>
        <w:rPr>
          <w:iCs/>
          <w:color w:val="auto"/>
        </w:rPr>
        <w:t xml:space="preserve">  </w:t>
      </w:r>
      <w:r w:rsidR="001A313F" w:rsidRPr="00AD0A29">
        <w:rPr>
          <w:iCs/>
          <w:color w:val="auto"/>
        </w:rPr>
        <w:t xml:space="preserve">delegates responsibility to the Director for Service Delivery in consultation with the Portfolio Holder for Strategic Planning to make any final minor text amendments </w:t>
      </w:r>
      <w:r w:rsidR="00751B54">
        <w:rPr>
          <w:iCs/>
          <w:color w:val="auto"/>
        </w:rPr>
        <w:t>to the Neighbourhood Plan, in agreement with Wincanton Town Council</w:t>
      </w:r>
      <w:r w:rsidR="00387397">
        <w:rPr>
          <w:iCs/>
          <w:color w:val="auto"/>
        </w:rPr>
        <w:t xml:space="preserve"> and the </w:t>
      </w:r>
      <w:r w:rsidR="00BF6350">
        <w:rPr>
          <w:iCs/>
          <w:color w:val="auto"/>
        </w:rPr>
        <w:t>Neighbourhood</w:t>
      </w:r>
      <w:r w:rsidR="00387397">
        <w:rPr>
          <w:iCs/>
          <w:color w:val="auto"/>
        </w:rPr>
        <w:t xml:space="preserve"> Plan Steering Group</w:t>
      </w:r>
      <w:r w:rsidR="00751B54">
        <w:rPr>
          <w:iCs/>
          <w:color w:val="auto"/>
        </w:rPr>
        <w:t>.</w:t>
      </w:r>
    </w:p>
    <w:p w:rsidR="00AD0A29" w:rsidRDefault="00AD0A29" w:rsidP="00AD0A29">
      <w:pPr>
        <w:pStyle w:val="ListParagraph"/>
        <w:rPr>
          <w:color w:val="auto"/>
          <w:szCs w:val="24"/>
        </w:rPr>
      </w:pPr>
    </w:p>
    <w:p w:rsidR="005245A2" w:rsidRPr="00121D17" w:rsidRDefault="005245A2">
      <w:pPr>
        <w:tabs>
          <w:tab w:val="left" w:pos="0"/>
          <w:tab w:val="left" w:pos="8620"/>
        </w:tabs>
        <w:rPr>
          <w:b/>
          <w:bCs/>
          <w:color w:val="auto"/>
          <w:sz w:val="24"/>
        </w:rPr>
      </w:pPr>
      <w:r w:rsidRPr="00121D17">
        <w:rPr>
          <w:b/>
          <w:bCs/>
          <w:color w:val="auto"/>
          <w:sz w:val="24"/>
        </w:rPr>
        <w:t>Background</w:t>
      </w:r>
    </w:p>
    <w:p w:rsidR="005245A2" w:rsidRPr="00751E53" w:rsidRDefault="005245A2">
      <w:pPr>
        <w:rPr>
          <w:rFonts w:cs="Arial"/>
          <w:color w:val="auto"/>
          <w:szCs w:val="22"/>
        </w:rPr>
      </w:pPr>
    </w:p>
    <w:p w:rsidR="001A313F" w:rsidRDefault="00A73C69" w:rsidP="00751E53">
      <w:pPr>
        <w:pStyle w:val="Default"/>
        <w:ind w:left="426" w:hanging="426"/>
        <w:rPr>
          <w:rFonts w:ascii="Arial" w:hAnsi="Arial" w:cs="Arial"/>
        </w:rPr>
      </w:pPr>
      <w:r>
        <w:rPr>
          <w:rFonts w:ascii="Arial" w:hAnsi="Arial" w:cs="Arial"/>
        </w:rPr>
        <w:t xml:space="preserve"> 6 </w:t>
      </w:r>
      <w:r>
        <w:rPr>
          <w:rFonts w:ascii="Arial" w:hAnsi="Arial" w:cs="Arial"/>
        </w:rPr>
        <w:tab/>
      </w:r>
      <w:r w:rsidR="00751E53" w:rsidRPr="00751E53">
        <w:rPr>
          <w:rFonts w:ascii="Arial" w:hAnsi="Arial" w:cs="Arial"/>
        </w:rPr>
        <w:t xml:space="preserve">Neighbourhood planning aims to help local communities play a direct role in planning the areas in which they live and </w:t>
      </w:r>
      <w:r w:rsidR="000A0BF7" w:rsidRPr="00751E53">
        <w:rPr>
          <w:rFonts w:ascii="Arial" w:hAnsi="Arial" w:cs="Arial"/>
        </w:rPr>
        <w:t>work. The</w:t>
      </w:r>
      <w:r w:rsidR="00751E53" w:rsidRPr="00751E53">
        <w:rPr>
          <w:rFonts w:ascii="Arial" w:hAnsi="Arial" w:cs="Arial"/>
        </w:rPr>
        <w:t xml:space="preserve"> plan can show how the community wants land to be used and developed in its area. If a plan is </w:t>
      </w:r>
      <w:r w:rsidR="00A55A0E">
        <w:rPr>
          <w:rFonts w:ascii="Arial" w:hAnsi="Arial" w:cs="Arial"/>
        </w:rPr>
        <w:t>‘</w:t>
      </w:r>
      <w:r w:rsidR="00751E53" w:rsidRPr="00751E53">
        <w:rPr>
          <w:rFonts w:ascii="Arial" w:hAnsi="Arial" w:cs="Arial"/>
        </w:rPr>
        <w:t>made</w:t>
      </w:r>
      <w:r w:rsidR="00A55A0E">
        <w:rPr>
          <w:rFonts w:ascii="Arial" w:hAnsi="Arial" w:cs="Arial"/>
        </w:rPr>
        <w:t>’</w:t>
      </w:r>
      <w:r w:rsidR="00751E53" w:rsidRPr="00751E53">
        <w:rPr>
          <w:rFonts w:ascii="Arial" w:hAnsi="Arial" w:cs="Arial"/>
        </w:rPr>
        <w:t xml:space="preserve"> following a successful referendum, it becomes part of the development plan for that area. Planning applications are determined by local planning authorities in accordance with the adopted development plan, unless material considerations indicate otherwise. A development plan sets out the planning policies for the development and use of land.</w:t>
      </w:r>
    </w:p>
    <w:p w:rsidR="000A0BF7" w:rsidRPr="00751E53" w:rsidRDefault="00A73C69" w:rsidP="003012BB">
      <w:pPr>
        <w:pStyle w:val="Default"/>
        <w:spacing w:before="240"/>
        <w:ind w:left="426" w:hanging="426"/>
        <w:rPr>
          <w:rFonts w:ascii="Arial" w:hAnsi="Arial" w:cs="Arial"/>
          <w:color w:val="auto"/>
        </w:rPr>
      </w:pPr>
      <w:r>
        <w:rPr>
          <w:rFonts w:ascii="Arial" w:hAnsi="Arial" w:cs="Arial"/>
        </w:rPr>
        <w:t xml:space="preserve">7 </w:t>
      </w:r>
      <w:r>
        <w:rPr>
          <w:rFonts w:ascii="Arial" w:hAnsi="Arial" w:cs="Arial"/>
        </w:rPr>
        <w:tab/>
      </w:r>
      <w:r w:rsidR="000A0BF7">
        <w:rPr>
          <w:rFonts w:ascii="Arial" w:hAnsi="Arial" w:cs="Arial"/>
        </w:rPr>
        <w:t xml:space="preserve">The </w:t>
      </w:r>
      <w:r w:rsidR="008D6452">
        <w:rPr>
          <w:rFonts w:ascii="Arial" w:hAnsi="Arial" w:cs="Arial"/>
        </w:rPr>
        <w:t xml:space="preserve">Wincanton </w:t>
      </w:r>
      <w:r w:rsidR="000A0BF7">
        <w:rPr>
          <w:rFonts w:ascii="Arial" w:hAnsi="Arial" w:cs="Arial"/>
        </w:rPr>
        <w:t>Neighbourhood Area designation was approved by the District Council in March 2014. Since then, the Neighbourhood Plan for the area has been prepared and a</w:t>
      </w:r>
      <w:r w:rsidR="00224811">
        <w:rPr>
          <w:rFonts w:ascii="Arial" w:hAnsi="Arial" w:cs="Arial"/>
        </w:rPr>
        <w:t xml:space="preserve"> </w:t>
      </w:r>
      <w:r w:rsidR="000A0BF7">
        <w:rPr>
          <w:rFonts w:ascii="Arial" w:hAnsi="Arial" w:cs="Arial"/>
        </w:rPr>
        <w:t xml:space="preserve">’Pre-Submission’ Plan was </w:t>
      </w:r>
      <w:r w:rsidR="003012BB">
        <w:rPr>
          <w:rFonts w:ascii="Arial" w:hAnsi="Arial" w:cs="Arial"/>
        </w:rPr>
        <w:t>consulted upon</w:t>
      </w:r>
      <w:r w:rsidR="000A0BF7">
        <w:rPr>
          <w:rFonts w:ascii="Arial" w:hAnsi="Arial" w:cs="Arial"/>
        </w:rPr>
        <w:t xml:space="preserve"> in November 2016</w:t>
      </w:r>
      <w:r w:rsidR="006A53C9">
        <w:rPr>
          <w:rFonts w:ascii="Arial" w:hAnsi="Arial" w:cs="Arial"/>
        </w:rPr>
        <w:t xml:space="preserve"> (Regulation 14)</w:t>
      </w:r>
      <w:r w:rsidR="000A0BF7">
        <w:rPr>
          <w:rFonts w:ascii="Arial" w:hAnsi="Arial" w:cs="Arial"/>
        </w:rPr>
        <w:t xml:space="preserve">. This was followed by formal submission of the Plan </w:t>
      </w:r>
      <w:r w:rsidR="003012BB">
        <w:rPr>
          <w:rFonts w:ascii="Arial" w:hAnsi="Arial" w:cs="Arial"/>
        </w:rPr>
        <w:t>in April 2017 and the District C</w:t>
      </w:r>
      <w:r w:rsidR="000A0BF7">
        <w:rPr>
          <w:rFonts w:ascii="Arial" w:hAnsi="Arial" w:cs="Arial"/>
        </w:rPr>
        <w:t>ouncil carried out formal consultation</w:t>
      </w:r>
      <w:r w:rsidR="003012BB">
        <w:rPr>
          <w:rFonts w:ascii="Arial" w:hAnsi="Arial" w:cs="Arial"/>
        </w:rPr>
        <w:t xml:space="preserve"> in line with procedures set out in the relevant Regulations</w:t>
      </w:r>
      <w:r w:rsidR="006A53C9">
        <w:rPr>
          <w:rFonts w:ascii="Arial" w:hAnsi="Arial" w:cs="Arial"/>
        </w:rPr>
        <w:t xml:space="preserve"> (Regulation 16)</w:t>
      </w:r>
      <w:r w:rsidR="003012BB">
        <w:rPr>
          <w:rFonts w:ascii="Arial" w:hAnsi="Arial" w:cs="Arial"/>
        </w:rPr>
        <w:t>. The</w:t>
      </w:r>
      <w:r w:rsidR="000A0BF7">
        <w:rPr>
          <w:rFonts w:ascii="Arial" w:hAnsi="Arial" w:cs="Arial"/>
        </w:rPr>
        <w:t xml:space="preserve"> Plan has now been the su</w:t>
      </w:r>
      <w:r w:rsidR="003012BB">
        <w:rPr>
          <w:rFonts w:ascii="Arial" w:hAnsi="Arial" w:cs="Arial"/>
        </w:rPr>
        <w:t>b</w:t>
      </w:r>
      <w:r w:rsidR="000A0BF7">
        <w:rPr>
          <w:rFonts w:ascii="Arial" w:hAnsi="Arial" w:cs="Arial"/>
        </w:rPr>
        <w:t>ject of independent examination and this report</w:t>
      </w:r>
      <w:r w:rsidR="003012BB">
        <w:rPr>
          <w:rFonts w:ascii="Arial" w:hAnsi="Arial" w:cs="Arial"/>
        </w:rPr>
        <w:t xml:space="preserve"> relates to the District Council’s decision on the Examiner’s recommendations and the next step of a local referendum.</w:t>
      </w:r>
    </w:p>
    <w:p w:rsidR="00F24421" w:rsidRPr="00751E53" w:rsidRDefault="00F24421">
      <w:pPr>
        <w:rPr>
          <w:rFonts w:cs="Arial"/>
          <w:bCs/>
          <w:color w:val="auto"/>
          <w:szCs w:val="22"/>
        </w:rPr>
      </w:pPr>
    </w:p>
    <w:p w:rsidR="005245A2" w:rsidRPr="00121D17" w:rsidRDefault="008D05A1">
      <w:pPr>
        <w:rPr>
          <w:b/>
          <w:bCs/>
          <w:color w:val="auto"/>
        </w:rPr>
      </w:pPr>
      <w:r>
        <w:rPr>
          <w:b/>
          <w:bCs/>
          <w:color w:val="auto"/>
          <w:sz w:val="24"/>
        </w:rPr>
        <w:t xml:space="preserve">The </w:t>
      </w:r>
      <w:r w:rsidR="00AD0A29">
        <w:rPr>
          <w:b/>
          <w:bCs/>
          <w:color w:val="auto"/>
          <w:sz w:val="24"/>
        </w:rPr>
        <w:t>Wincanton Neighbourhood Plan</w:t>
      </w:r>
    </w:p>
    <w:p w:rsidR="005245A2" w:rsidRPr="00F24421" w:rsidRDefault="005245A2">
      <w:pPr>
        <w:rPr>
          <w:color w:val="auto"/>
          <w:lang w:val="en-US"/>
        </w:rPr>
      </w:pPr>
    </w:p>
    <w:p w:rsidR="0024670C" w:rsidRDefault="001965BA" w:rsidP="00A73C69">
      <w:pPr>
        <w:pStyle w:val="ListParagraph"/>
        <w:numPr>
          <w:ilvl w:val="0"/>
          <w:numId w:val="45"/>
        </w:numPr>
        <w:autoSpaceDE w:val="0"/>
        <w:autoSpaceDN w:val="0"/>
        <w:adjustRightInd w:val="0"/>
        <w:spacing w:before="120" w:after="120"/>
        <w:ind w:left="426" w:hanging="426"/>
        <w:jc w:val="left"/>
        <w:rPr>
          <w:rFonts w:cs="Arial"/>
          <w:color w:val="auto"/>
          <w:szCs w:val="22"/>
          <w:lang w:eastAsia="en-GB"/>
        </w:rPr>
      </w:pPr>
      <w:r w:rsidRPr="001965BA">
        <w:rPr>
          <w:rFonts w:cs="Arial"/>
          <w:color w:val="auto"/>
          <w:szCs w:val="22"/>
          <w:lang w:eastAsia="en-GB"/>
        </w:rPr>
        <w:t xml:space="preserve">The </w:t>
      </w:r>
      <w:r w:rsidR="00751E53">
        <w:rPr>
          <w:rFonts w:cs="Arial"/>
          <w:color w:val="auto"/>
          <w:szCs w:val="22"/>
          <w:lang w:eastAsia="en-GB"/>
        </w:rPr>
        <w:t xml:space="preserve">Wincanton </w:t>
      </w:r>
      <w:r w:rsidR="0075798D">
        <w:rPr>
          <w:rFonts w:cs="Arial"/>
          <w:color w:val="auto"/>
          <w:szCs w:val="22"/>
          <w:lang w:eastAsia="en-GB"/>
        </w:rPr>
        <w:t>Neighbourhood Plan sets out a vision for the town and the Plan’s main objectives; places the Plan in the context of national and local planning policies; and includes a short summary of the town’s physical, demographic and historic context. The Plan summarises the consultation process and evidence base informing its preparation; and policies seeking to guide future development in the town relating to what are considered to be</w:t>
      </w:r>
      <w:r w:rsidR="003A486D">
        <w:rPr>
          <w:rFonts w:cs="Arial"/>
          <w:color w:val="auto"/>
          <w:szCs w:val="22"/>
          <w:lang w:eastAsia="en-GB"/>
        </w:rPr>
        <w:t xml:space="preserve"> the most sustainable locations</w:t>
      </w:r>
      <w:r w:rsidR="0075798D">
        <w:rPr>
          <w:rFonts w:cs="Arial"/>
          <w:color w:val="auto"/>
          <w:szCs w:val="22"/>
          <w:lang w:eastAsia="en-GB"/>
        </w:rPr>
        <w:t xml:space="preserve">, </w:t>
      </w:r>
      <w:r w:rsidR="00B03E54">
        <w:rPr>
          <w:rFonts w:cs="Arial"/>
          <w:color w:val="auto"/>
          <w:szCs w:val="22"/>
          <w:lang w:eastAsia="en-GB"/>
        </w:rPr>
        <w:t>securing housing suitable for Wincanton’</w:t>
      </w:r>
      <w:r w:rsidR="003A486D">
        <w:rPr>
          <w:rFonts w:cs="Arial"/>
          <w:color w:val="auto"/>
          <w:szCs w:val="22"/>
          <w:lang w:eastAsia="en-GB"/>
        </w:rPr>
        <w:t>s population, employment,</w:t>
      </w:r>
      <w:r w:rsidR="00B03E54">
        <w:rPr>
          <w:rFonts w:cs="Arial"/>
          <w:color w:val="auto"/>
          <w:szCs w:val="22"/>
          <w:lang w:eastAsia="en-GB"/>
        </w:rPr>
        <w:t xml:space="preserve"> the town centre economy; and the local environment.</w:t>
      </w:r>
    </w:p>
    <w:p w:rsidR="00E56661" w:rsidRPr="0024670C" w:rsidRDefault="00E56661" w:rsidP="00E56661">
      <w:pPr>
        <w:pStyle w:val="ListParagraph"/>
        <w:autoSpaceDE w:val="0"/>
        <w:autoSpaceDN w:val="0"/>
        <w:adjustRightInd w:val="0"/>
        <w:spacing w:before="120" w:after="120"/>
        <w:ind w:left="426"/>
        <w:jc w:val="left"/>
        <w:rPr>
          <w:rFonts w:cs="Arial"/>
          <w:color w:val="auto"/>
          <w:szCs w:val="22"/>
          <w:lang w:eastAsia="en-GB"/>
        </w:rPr>
      </w:pPr>
    </w:p>
    <w:p w:rsidR="001965BA" w:rsidRDefault="007A49FD" w:rsidP="00A73C69">
      <w:pPr>
        <w:pStyle w:val="ListParagraph"/>
        <w:numPr>
          <w:ilvl w:val="0"/>
          <w:numId w:val="45"/>
        </w:numPr>
        <w:ind w:left="426" w:hanging="426"/>
        <w:rPr>
          <w:color w:val="auto"/>
          <w:lang w:val="en-US"/>
        </w:rPr>
      </w:pPr>
      <w:r>
        <w:rPr>
          <w:color w:val="auto"/>
          <w:lang w:val="en-US"/>
        </w:rPr>
        <w:t>The</w:t>
      </w:r>
      <w:r w:rsidR="00495590">
        <w:rPr>
          <w:color w:val="auto"/>
          <w:lang w:val="en-US"/>
        </w:rPr>
        <w:t xml:space="preserve"> </w:t>
      </w:r>
      <w:r w:rsidR="0075798D">
        <w:rPr>
          <w:color w:val="auto"/>
          <w:lang w:val="en-US"/>
        </w:rPr>
        <w:t>main objectives</w:t>
      </w:r>
      <w:r w:rsidR="00495590">
        <w:rPr>
          <w:color w:val="auto"/>
          <w:lang w:val="en-US"/>
        </w:rPr>
        <w:t xml:space="preserve"> within the </w:t>
      </w:r>
      <w:r w:rsidR="00E56661">
        <w:rPr>
          <w:color w:val="auto"/>
          <w:lang w:val="en-US"/>
        </w:rPr>
        <w:t>Neighbour</w:t>
      </w:r>
      <w:r w:rsidR="008049DF">
        <w:rPr>
          <w:color w:val="auto"/>
          <w:lang w:val="en-US"/>
        </w:rPr>
        <w:t>hood</w:t>
      </w:r>
      <w:r w:rsidR="00E56661">
        <w:rPr>
          <w:color w:val="auto"/>
          <w:lang w:val="en-US"/>
        </w:rPr>
        <w:t xml:space="preserve"> Plan</w:t>
      </w:r>
      <w:r w:rsidR="00495590">
        <w:rPr>
          <w:color w:val="auto"/>
          <w:lang w:val="en-US"/>
        </w:rPr>
        <w:t xml:space="preserve"> are</w:t>
      </w:r>
      <w:r w:rsidR="001965BA">
        <w:rPr>
          <w:color w:val="auto"/>
          <w:lang w:val="en-US"/>
        </w:rPr>
        <w:t xml:space="preserve"> </w:t>
      </w:r>
      <w:r w:rsidR="0075798D">
        <w:rPr>
          <w:color w:val="auto"/>
          <w:lang w:val="en-US"/>
        </w:rPr>
        <w:t>the following:</w:t>
      </w:r>
      <w:r w:rsidR="001965BA">
        <w:rPr>
          <w:color w:val="auto"/>
          <w:lang w:val="en-US"/>
        </w:rPr>
        <w:t xml:space="preserve"> </w:t>
      </w:r>
    </w:p>
    <w:p w:rsidR="001965BA" w:rsidRDefault="001965BA" w:rsidP="00704F67">
      <w:pPr>
        <w:pStyle w:val="ListParagraph"/>
        <w:ind w:left="426"/>
        <w:rPr>
          <w:color w:val="auto"/>
          <w:lang w:val="en-US"/>
        </w:rPr>
      </w:pPr>
    </w:p>
    <w:p w:rsidR="00571F0F" w:rsidRDefault="0075798D" w:rsidP="00571F0F">
      <w:pPr>
        <w:pStyle w:val="BodyA"/>
        <w:numPr>
          <w:ilvl w:val="0"/>
          <w:numId w:val="30"/>
        </w:numPr>
        <w:rPr>
          <w:bCs/>
          <w:lang w:val="en-GB"/>
        </w:rPr>
      </w:pPr>
      <w:r w:rsidRPr="0075798D">
        <w:rPr>
          <w:bCs/>
          <w:lang w:val="en-GB"/>
        </w:rPr>
        <w:t xml:space="preserve">Identifying the most sustainable locations for development </w:t>
      </w:r>
    </w:p>
    <w:p w:rsidR="00571F0F" w:rsidRDefault="0075798D" w:rsidP="00571F0F">
      <w:pPr>
        <w:pStyle w:val="BodyA"/>
        <w:numPr>
          <w:ilvl w:val="0"/>
          <w:numId w:val="30"/>
        </w:numPr>
        <w:rPr>
          <w:bCs/>
          <w:lang w:val="en-GB"/>
        </w:rPr>
      </w:pPr>
      <w:r w:rsidRPr="00571F0F">
        <w:rPr>
          <w:bCs/>
          <w:lang w:val="en-GB"/>
        </w:rPr>
        <w:t>Housing suitable for Wincanton’s population</w:t>
      </w:r>
    </w:p>
    <w:p w:rsidR="00571F0F" w:rsidRDefault="0075798D" w:rsidP="00571F0F">
      <w:pPr>
        <w:pStyle w:val="BodyA"/>
        <w:numPr>
          <w:ilvl w:val="0"/>
          <w:numId w:val="30"/>
        </w:numPr>
        <w:rPr>
          <w:bCs/>
          <w:lang w:val="en-GB"/>
        </w:rPr>
      </w:pPr>
      <w:r w:rsidRPr="00571F0F">
        <w:rPr>
          <w:bCs/>
          <w:lang w:val="en-GB"/>
        </w:rPr>
        <w:t>New employment space near the A303</w:t>
      </w:r>
    </w:p>
    <w:p w:rsidR="00571F0F" w:rsidRDefault="0075798D" w:rsidP="00571F0F">
      <w:pPr>
        <w:pStyle w:val="BodyA"/>
        <w:numPr>
          <w:ilvl w:val="0"/>
          <w:numId w:val="30"/>
        </w:numPr>
        <w:rPr>
          <w:bCs/>
          <w:lang w:val="en-GB"/>
        </w:rPr>
      </w:pPr>
      <w:r w:rsidRPr="00571F0F">
        <w:rPr>
          <w:bCs/>
          <w:lang w:val="en-GB"/>
        </w:rPr>
        <w:t>Make the town centre more attractive to users</w:t>
      </w:r>
    </w:p>
    <w:p w:rsidR="0075798D" w:rsidRPr="00571F0F" w:rsidRDefault="0075798D" w:rsidP="00571F0F">
      <w:pPr>
        <w:pStyle w:val="BodyA"/>
        <w:numPr>
          <w:ilvl w:val="0"/>
          <w:numId w:val="30"/>
        </w:numPr>
        <w:rPr>
          <w:bCs/>
          <w:lang w:val="en-GB"/>
        </w:rPr>
      </w:pPr>
      <w:r w:rsidRPr="00571F0F">
        <w:rPr>
          <w:bCs/>
          <w:lang w:val="en-GB"/>
        </w:rPr>
        <w:t>Protect open spaces &amp; improve walking &amp; cycling routes</w:t>
      </w:r>
    </w:p>
    <w:p w:rsidR="00E56661" w:rsidRPr="00E56661" w:rsidRDefault="00E56661" w:rsidP="00E56661">
      <w:pPr>
        <w:pStyle w:val="ListParagraph"/>
        <w:rPr>
          <w:rFonts w:cs="Arial"/>
          <w:color w:val="auto"/>
          <w:szCs w:val="22"/>
        </w:rPr>
      </w:pPr>
    </w:p>
    <w:p w:rsidR="007A49FD" w:rsidRPr="008D6452" w:rsidRDefault="007A49FD" w:rsidP="00A73C69">
      <w:pPr>
        <w:pStyle w:val="Default"/>
        <w:numPr>
          <w:ilvl w:val="0"/>
          <w:numId w:val="45"/>
        </w:numPr>
        <w:spacing w:after="240"/>
        <w:ind w:left="426" w:hanging="426"/>
        <w:rPr>
          <w:rFonts w:ascii="Arial" w:hAnsi="Arial" w:cs="Arial"/>
          <w:lang w:val="en-GB"/>
        </w:rPr>
      </w:pPr>
      <w:r w:rsidRPr="008D6452">
        <w:rPr>
          <w:rFonts w:ascii="Arial" w:hAnsi="Arial" w:cs="Arial"/>
          <w:lang w:val="en-GB"/>
        </w:rPr>
        <w:t xml:space="preserve">Key issues identified during </w:t>
      </w:r>
      <w:r w:rsidR="00A55A0E">
        <w:rPr>
          <w:rFonts w:ascii="Arial" w:hAnsi="Arial" w:cs="Arial"/>
          <w:lang w:val="en-GB"/>
        </w:rPr>
        <w:t xml:space="preserve">the </w:t>
      </w:r>
      <w:r w:rsidRPr="008D6452">
        <w:rPr>
          <w:rFonts w:ascii="Arial" w:hAnsi="Arial" w:cs="Arial"/>
          <w:lang w:val="en-GB"/>
        </w:rPr>
        <w:t xml:space="preserve">consultation </w:t>
      </w:r>
      <w:r w:rsidR="00A55A0E">
        <w:rPr>
          <w:rFonts w:ascii="Arial" w:hAnsi="Arial" w:cs="Arial"/>
          <w:lang w:val="en-GB"/>
        </w:rPr>
        <w:t xml:space="preserve">carried out by the Neighbourhood Planning Group under Regulation 14 </w:t>
      </w:r>
      <w:r w:rsidRPr="008D6452">
        <w:rPr>
          <w:rFonts w:ascii="Arial" w:hAnsi="Arial" w:cs="Arial"/>
          <w:lang w:val="en-GB"/>
        </w:rPr>
        <w:t>were that;</w:t>
      </w:r>
    </w:p>
    <w:p w:rsidR="007A49FD" w:rsidRPr="008D6452" w:rsidRDefault="007A49FD" w:rsidP="007A49FD">
      <w:pPr>
        <w:pStyle w:val="Default"/>
        <w:numPr>
          <w:ilvl w:val="0"/>
          <w:numId w:val="35"/>
        </w:numPr>
        <w:spacing w:after="240"/>
        <w:rPr>
          <w:rFonts w:ascii="Arial" w:hAnsi="Arial" w:cs="Arial"/>
          <w:lang w:val="en-GB"/>
        </w:rPr>
      </w:pPr>
      <w:r w:rsidRPr="008D6452">
        <w:rPr>
          <w:rFonts w:ascii="Arial" w:hAnsi="Arial" w:cs="Arial"/>
          <w:lang w:val="en-GB"/>
        </w:rPr>
        <w:lastRenderedPageBreak/>
        <w:t>businesses need better quality, larger footprint units that they can adapt as the business grows. These need good access to the A303, much better broadband and sufficient parking.</w:t>
      </w:r>
    </w:p>
    <w:p w:rsidR="007A49FD" w:rsidRPr="008D6452" w:rsidRDefault="007A49FD" w:rsidP="007A49FD">
      <w:pPr>
        <w:pStyle w:val="Default"/>
        <w:numPr>
          <w:ilvl w:val="0"/>
          <w:numId w:val="35"/>
        </w:numPr>
        <w:spacing w:after="240"/>
        <w:rPr>
          <w:rFonts w:ascii="Arial" w:hAnsi="Arial" w:cs="Arial"/>
          <w:lang w:val="en-GB"/>
        </w:rPr>
      </w:pPr>
      <w:r w:rsidRPr="008D6452">
        <w:rPr>
          <w:rFonts w:ascii="Arial" w:hAnsi="Arial" w:cs="Arial"/>
          <w:lang w:val="en-GB"/>
        </w:rPr>
        <w:t>the types of houses being built do not suit residents’ needs, in particular for the elderly and for young people</w:t>
      </w:r>
    </w:p>
    <w:p w:rsidR="007A49FD" w:rsidRPr="008D6452" w:rsidRDefault="007A49FD" w:rsidP="007A49FD">
      <w:pPr>
        <w:pStyle w:val="Default"/>
        <w:numPr>
          <w:ilvl w:val="0"/>
          <w:numId w:val="35"/>
        </w:numPr>
        <w:spacing w:after="240"/>
        <w:rPr>
          <w:rFonts w:ascii="Arial" w:hAnsi="Arial" w:cs="Arial"/>
          <w:lang w:val="en-GB"/>
        </w:rPr>
      </w:pPr>
      <w:r w:rsidRPr="008D6452">
        <w:rPr>
          <w:rFonts w:ascii="Arial" w:hAnsi="Arial" w:cs="Arial"/>
          <w:lang w:val="en-GB"/>
        </w:rPr>
        <w:t>not enough jobs are being created for the increased population, so that Wincanton’s working town character is under threat and services are under pressure</w:t>
      </w:r>
    </w:p>
    <w:p w:rsidR="007A49FD" w:rsidRPr="008D6452" w:rsidRDefault="007A49FD" w:rsidP="007A49FD">
      <w:pPr>
        <w:pStyle w:val="Default"/>
        <w:numPr>
          <w:ilvl w:val="0"/>
          <w:numId w:val="35"/>
        </w:numPr>
        <w:spacing w:after="240"/>
        <w:rPr>
          <w:rFonts w:ascii="Arial" w:hAnsi="Arial" w:cs="Arial"/>
          <w:lang w:val="en-GB"/>
        </w:rPr>
      </w:pPr>
      <w:r w:rsidRPr="008D6452">
        <w:rPr>
          <w:rFonts w:ascii="Arial" w:hAnsi="Arial" w:cs="Arial"/>
          <w:lang w:val="en-GB"/>
        </w:rPr>
        <w:t>the physical environment of the town, especially the main approach into the town from the A303, was of poor quality, with messy industry and old commercial units providing a poor first impression</w:t>
      </w:r>
    </w:p>
    <w:p w:rsidR="003A486D" w:rsidRPr="008D6452" w:rsidRDefault="007A49FD" w:rsidP="003A486D">
      <w:pPr>
        <w:pStyle w:val="Default"/>
        <w:numPr>
          <w:ilvl w:val="0"/>
          <w:numId w:val="35"/>
        </w:numPr>
        <w:spacing w:after="240"/>
        <w:rPr>
          <w:rFonts w:ascii="Arial" w:hAnsi="Arial" w:cs="Arial"/>
          <w:lang w:val="en-GB"/>
        </w:rPr>
      </w:pPr>
      <w:r w:rsidRPr="008D6452">
        <w:rPr>
          <w:rFonts w:ascii="Arial" w:hAnsi="Arial" w:cs="Arial"/>
          <w:lang w:val="en-GB"/>
        </w:rPr>
        <w:t>more could be done to support the town centre economy. Edge-of-town supermarkets and internet shopping have had an effect on the vitality of many town centres including Wincanton, but measures such as pedestrian improvements and traffic calming, redeveloping two key Listed buildings and widening the choice of shops were suggested.</w:t>
      </w:r>
    </w:p>
    <w:p w:rsidR="008049DF" w:rsidRPr="008D6452" w:rsidRDefault="007A49FD" w:rsidP="003A486D">
      <w:pPr>
        <w:pStyle w:val="Default"/>
        <w:numPr>
          <w:ilvl w:val="0"/>
          <w:numId w:val="35"/>
        </w:numPr>
        <w:spacing w:after="240"/>
        <w:rPr>
          <w:rFonts w:ascii="Arial" w:hAnsi="Arial" w:cs="Arial"/>
          <w:lang w:val="en-GB"/>
        </w:rPr>
      </w:pPr>
      <w:r w:rsidRPr="008D6452">
        <w:rPr>
          <w:rFonts w:ascii="Arial" w:hAnsi="Arial" w:cs="Arial"/>
        </w:rPr>
        <w:t>access around the town on foot and by cycle is difficult due to terrain, the one-</w:t>
      </w:r>
      <w:r w:rsidR="00A55A0E">
        <w:rPr>
          <w:rFonts w:ascii="Arial" w:hAnsi="Arial" w:cs="Arial"/>
        </w:rPr>
        <w:t>way</w:t>
      </w:r>
      <w:r w:rsidR="003A486D" w:rsidRPr="008D6452">
        <w:rPr>
          <w:rFonts w:ascii="Arial" w:hAnsi="Arial" w:cs="Arial"/>
        </w:rPr>
        <w:t xml:space="preserve"> </w:t>
      </w:r>
      <w:r w:rsidR="003A486D" w:rsidRPr="008D6452">
        <w:rPr>
          <w:rFonts w:ascii="Arial" w:hAnsi="Arial" w:cs="Arial"/>
          <w:lang w:val="en-GB"/>
        </w:rPr>
        <w:t>system and the historic pattern of development.</w:t>
      </w:r>
    </w:p>
    <w:p w:rsidR="00495590" w:rsidRDefault="008049DF" w:rsidP="00A73C69">
      <w:pPr>
        <w:pStyle w:val="ListParagraph"/>
        <w:numPr>
          <w:ilvl w:val="0"/>
          <w:numId w:val="45"/>
        </w:numPr>
        <w:spacing w:after="120"/>
        <w:ind w:left="426" w:hanging="426"/>
        <w:jc w:val="left"/>
        <w:rPr>
          <w:rFonts w:cs="Arial"/>
          <w:color w:val="auto"/>
          <w:szCs w:val="22"/>
        </w:rPr>
      </w:pPr>
      <w:r>
        <w:rPr>
          <w:rFonts w:cs="Arial"/>
          <w:color w:val="auto"/>
          <w:szCs w:val="22"/>
        </w:rPr>
        <w:t>The P</w:t>
      </w:r>
      <w:r w:rsidR="00CD47B3">
        <w:rPr>
          <w:rFonts w:cs="Arial"/>
          <w:color w:val="auto"/>
          <w:szCs w:val="22"/>
        </w:rPr>
        <w:t>lan seeks to protect visually sensitive areas, key buildings and spaces, trees and  hedgerows; and river and stream corridors. It states that development on the outskirts of the town should be softened by landscaping and that, where opportunities exist, heritage assets should be sensitively incorporated and a site’s role in the history of the town explained.</w:t>
      </w:r>
    </w:p>
    <w:p w:rsidR="00495590" w:rsidRPr="00495590" w:rsidRDefault="00495590" w:rsidP="00495590">
      <w:pPr>
        <w:pStyle w:val="ListParagraph"/>
        <w:rPr>
          <w:rFonts w:cs="Arial"/>
          <w:color w:val="auto"/>
          <w:szCs w:val="22"/>
        </w:rPr>
      </w:pPr>
    </w:p>
    <w:p w:rsidR="00495590" w:rsidRDefault="00CD47B3" w:rsidP="00A73C69">
      <w:pPr>
        <w:pStyle w:val="ListParagraph"/>
        <w:numPr>
          <w:ilvl w:val="0"/>
          <w:numId w:val="45"/>
        </w:numPr>
        <w:spacing w:after="120"/>
        <w:ind w:left="426" w:hanging="426"/>
        <w:jc w:val="left"/>
        <w:rPr>
          <w:rFonts w:cs="Arial"/>
          <w:color w:val="auto"/>
          <w:szCs w:val="22"/>
        </w:rPr>
      </w:pPr>
      <w:r>
        <w:rPr>
          <w:rFonts w:cs="Arial"/>
          <w:color w:val="auto"/>
          <w:szCs w:val="22"/>
        </w:rPr>
        <w:t>The Plan states that new housing should be predominately of relatively smaller units, include ‘S</w:t>
      </w:r>
      <w:r w:rsidR="00654093">
        <w:rPr>
          <w:rFonts w:cs="Arial"/>
          <w:color w:val="auto"/>
          <w:szCs w:val="22"/>
        </w:rPr>
        <w:t>tarter</w:t>
      </w:r>
      <w:r>
        <w:rPr>
          <w:rFonts w:cs="Arial"/>
          <w:color w:val="auto"/>
          <w:szCs w:val="22"/>
        </w:rPr>
        <w:t xml:space="preserve"> Homes’ for </w:t>
      </w:r>
      <w:r w:rsidR="00654093">
        <w:rPr>
          <w:rFonts w:cs="Arial"/>
          <w:color w:val="auto"/>
          <w:szCs w:val="22"/>
        </w:rPr>
        <w:t xml:space="preserve">local people and custom and self-build homes; and that accessible and adaptable homes would be supported. </w:t>
      </w:r>
    </w:p>
    <w:p w:rsidR="00495590" w:rsidRPr="00495590" w:rsidRDefault="00495590" w:rsidP="00495590">
      <w:pPr>
        <w:pStyle w:val="ListParagraph"/>
        <w:rPr>
          <w:rFonts w:cs="Arial"/>
          <w:color w:val="auto"/>
          <w:szCs w:val="22"/>
        </w:rPr>
      </w:pPr>
    </w:p>
    <w:p w:rsidR="00495590" w:rsidRDefault="002A71DB" w:rsidP="00A73C69">
      <w:pPr>
        <w:pStyle w:val="ListParagraph"/>
        <w:numPr>
          <w:ilvl w:val="0"/>
          <w:numId w:val="45"/>
        </w:numPr>
        <w:spacing w:after="120"/>
        <w:ind w:left="426" w:hanging="426"/>
        <w:jc w:val="left"/>
        <w:rPr>
          <w:rFonts w:cs="Arial"/>
          <w:color w:val="auto"/>
          <w:szCs w:val="22"/>
        </w:rPr>
      </w:pPr>
      <w:r>
        <w:rPr>
          <w:rFonts w:cs="Arial"/>
          <w:color w:val="auto"/>
          <w:szCs w:val="22"/>
        </w:rPr>
        <w:t>New employment sites outside the town’s development area may be supported as long as specified criteria are met; and parking at employment sites should meet adopted parking standards, but solutions that help alleviating existing diffi</w:t>
      </w:r>
      <w:r w:rsidR="00BF6350">
        <w:rPr>
          <w:rFonts w:cs="Arial"/>
          <w:color w:val="auto"/>
          <w:szCs w:val="22"/>
        </w:rPr>
        <w:t>cu</w:t>
      </w:r>
      <w:r>
        <w:rPr>
          <w:rFonts w:cs="Arial"/>
          <w:color w:val="auto"/>
          <w:szCs w:val="22"/>
        </w:rPr>
        <w:t xml:space="preserve">lties regarding poor access and inadequate parking provision will also be encouraged. </w:t>
      </w:r>
    </w:p>
    <w:p w:rsidR="00495590" w:rsidRPr="00495590" w:rsidRDefault="00495590" w:rsidP="00495590">
      <w:pPr>
        <w:pStyle w:val="ListParagraph"/>
        <w:rPr>
          <w:rFonts w:cs="Arial"/>
          <w:color w:val="auto"/>
          <w:szCs w:val="22"/>
        </w:rPr>
      </w:pPr>
    </w:p>
    <w:p w:rsidR="00495590" w:rsidRPr="002A71DB" w:rsidRDefault="002A71DB" w:rsidP="00A73C69">
      <w:pPr>
        <w:pStyle w:val="ListParagraph"/>
        <w:numPr>
          <w:ilvl w:val="0"/>
          <w:numId w:val="45"/>
        </w:numPr>
        <w:spacing w:after="120"/>
        <w:ind w:left="426" w:hanging="426"/>
        <w:jc w:val="left"/>
        <w:rPr>
          <w:rFonts w:cs="Arial"/>
          <w:color w:val="auto"/>
          <w:szCs w:val="22"/>
        </w:rPr>
      </w:pPr>
      <w:r w:rsidRPr="002A71DB">
        <w:rPr>
          <w:color w:val="auto"/>
          <w:u w:color="37601C"/>
        </w:rPr>
        <w:t>The Town Council, in collaboration with South Somerset District Council and Somerset County Council as the Highways Authority, will as a priority seek to implement two modest public realm enhancements and an extended 20 mph zone in the town centre area, to improve shopper &amp; visitor experience and the safety of pedestrians.</w:t>
      </w:r>
    </w:p>
    <w:p w:rsidR="00495590" w:rsidRPr="002A71DB" w:rsidRDefault="00495590" w:rsidP="00495590">
      <w:pPr>
        <w:pStyle w:val="ListParagraph"/>
        <w:rPr>
          <w:rFonts w:cs="Arial"/>
          <w:color w:val="auto"/>
          <w:szCs w:val="22"/>
        </w:rPr>
      </w:pPr>
    </w:p>
    <w:p w:rsidR="00385CED" w:rsidRDefault="002A71DB" w:rsidP="00A73C69">
      <w:pPr>
        <w:pStyle w:val="PolicyText"/>
        <w:numPr>
          <w:ilvl w:val="0"/>
          <w:numId w:val="45"/>
        </w:numPr>
        <w:ind w:left="426" w:hanging="426"/>
        <w:rPr>
          <w:rFonts w:ascii="Arial" w:hAnsi="Arial" w:cs="Arial"/>
          <w:color w:val="auto"/>
          <w:sz w:val="22"/>
          <w:szCs w:val="22"/>
        </w:rPr>
      </w:pPr>
      <w:r w:rsidRPr="00A149E0">
        <w:rPr>
          <w:rFonts w:ascii="Arial" w:hAnsi="Arial" w:cs="Arial"/>
          <w:color w:val="auto"/>
          <w:sz w:val="22"/>
          <w:szCs w:val="22"/>
        </w:rPr>
        <w:t xml:space="preserve">The Plan designates four green spaces as </w:t>
      </w:r>
      <w:r w:rsidR="008D6452">
        <w:rPr>
          <w:rFonts w:ascii="Arial" w:hAnsi="Arial" w:cs="Arial"/>
          <w:color w:val="auto"/>
          <w:sz w:val="22"/>
          <w:szCs w:val="22"/>
        </w:rPr>
        <w:t>‘</w:t>
      </w:r>
      <w:r w:rsidRPr="00A149E0">
        <w:rPr>
          <w:rFonts w:ascii="Arial" w:hAnsi="Arial" w:cs="Arial"/>
          <w:color w:val="auto"/>
          <w:sz w:val="22"/>
          <w:szCs w:val="22"/>
        </w:rPr>
        <w:t>Local Green Spaces</w:t>
      </w:r>
      <w:r w:rsidR="008D6452">
        <w:rPr>
          <w:rFonts w:ascii="Arial" w:hAnsi="Arial" w:cs="Arial"/>
          <w:color w:val="auto"/>
          <w:sz w:val="22"/>
          <w:szCs w:val="22"/>
        </w:rPr>
        <w:t>’</w:t>
      </w:r>
      <w:r w:rsidRPr="00A149E0">
        <w:rPr>
          <w:rFonts w:ascii="Arial" w:hAnsi="Arial" w:cs="Arial"/>
          <w:color w:val="auto"/>
          <w:sz w:val="22"/>
          <w:szCs w:val="22"/>
        </w:rPr>
        <w:t xml:space="preserve"> for special protection, but also refers to other </w:t>
      </w:r>
      <w:r w:rsidR="008D6452">
        <w:rPr>
          <w:rFonts w:ascii="Arial" w:hAnsi="Arial" w:cs="Arial"/>
          <w:color w:val="auto"/>
          <w:sz w:val="22"/>
          <w:szCs w:val="22"/>
          <w:lang w:val="en-GB"/>
        </w:rPr>
        <w:t>g</w:t>
      </w:r>
      <w:r w:rsidRPr="00A149E0">
        <w:rPr>
          <w:rFonts w:ascii="Arial" w:hAnsi="Arial" w:cs="Arial"/>
          <w:color w:val="auto"/>
          <w:sz w:val="22"/>
          <w:szCs w:val="22"/>
          <w:lang w:val="en-GB"/>
        </w:rPr>
        <w:t xml:space="preserve">reen </w:t>
      </w:r>
      <w:r w:rsidR="008D6452">
        <w:rPr>
          <w:rFonts w:ascii="Arial" w:hAnsi="Arial" w:cs="Arial"/>
          <w:color w:val="auto"/>
          <w:sz w:val="22"/>
          <w:szCs w:val="22"/>
          <w:lang w:val="en-GB"/>
        </w:rPr>
        <w:t>s</w:t>
      </w:r>
      <w:r w:rsidRPr="00A149E0">
        <w:rPr>
          <w:rFonts w:ascii="Arial" w:hAnsi="Arial" w:cs="Arial"/>
          <w:color w:val="auto"/>
          <w:sz w:val="22"/>
          <w:szCs w:val="22"/>
          <w:lang w:val="en-GB"/>
        </w:rPr>
        <w:t>paces which contribute to the character and appearance of the Wincanton Conservation Area</w:t>
      </w:r>
      <w:r w:rsidRPr="00A149E0">
        <w:rPr>
          <w:rFonts w:ascii="Arial" w:hAnsi="Arial" w:cs="Arial"/>
          <w:color w:val="auto"/>
          <w:sz w:val="22"/>
          <w:szCs w:val="22"/>
        </w:rPr>
        <w:t>; and o</w:t>
      </w:r>
      <w:r w:rsidR="008D6452">
        <w:rPr>
          <w:rFonts w:ascii="Arial" w:hAnsi="Arial" w:cs="Arial"/>
          <w:color w:val="auto"/>
          <w:sz w:val="22"/>
          <w:szCs w:val="22"/>
        </w:rPr>
        <w:t>ther g</w:t>
      </w:r>
      <w:r w:rsidRPr="00A149E0">
        <w:rPr>
          <w:rFonts w:ascii="Arial" w:hAnsi="Arial" w:cs="Arial"/>
          <w:color w:val="auto"/>
          <w:sz w:val="22"/>
          <w:szCs w:val="22"/>
        </w:rPr>
        <w:t xml:space="preserve">reen </w:t>
      </w:r>
      <w:r w:rsidR="008D6452">
        <w:rPr>
          <w:rFonts w:ascii="Arial" w:hAnsi="Arial" w:cs="Arial"/>
          <w:color w:val="auto"/>
          <w:sz w:val="22"/>
          <w:szCs w:val="22"/>
        </w:rPr>
        <w:t>areas and o</w:t>
      </w:r>
      <w:r w:rsidRPr="00A149E0">
        <w:rPr>
          <w:rFonts w:ascii="Arial" w:hAnsi="Arial" w:cs="Arial"/>
          <w:color w:val="auto"/>
          <w:sz w:val="22"/>
          <w:szCs w:val="22"/>
        </w:rPr>
        <w:t xml:space="preserve">pen </w:t>
      </w:r>
      <w:r w:rsidR="008D6452">
        <w:rPr>
          <w:rFonts w:ascii="Arial" w:hAnsi="Arial" w:cs="Arial"/>
          <w:color w:val="auto"/>
          <w:sz w:val="22"/>
          <w:szCs w:val="22"/>
        </w:rPr>
        <w:t>s</w:t>
      </w:r>
      <w:r w:rsidRPr="00A149E0">
        <w:rPr>
          <w:rFonts w:ascii="Arial" w:hAnsi="Arial" w:cs="Arial"/>
          <w:color w:val="auto"/>
          <w:sz w:val="22"/>
          <w:szCs w:val="22"/>
        </w:rPr>
        <w:t>pace</w:t>
      </w:r>
      <w:r w:rsidR="002003F3">
        <w:rPr>
          <w:rFonts w:ascii="Arial" w:hAnsi="Arial" w:cs="Arial"/>
          <w:color w:val="auto"/>
          <w:sz w:val="22"/>
          <w:szCs w:val="22"/>
        </w:rPr>
        <w:t>s which are</w:t>
      </w:r>
      <w:r w:rsidRPr="00A149E0">
        <w:rPr>
          <w:rFonts w:ascii="Arial" w:hAnsi="Arial" w:cs="Arial"/>
          <w:color w:val="auto"/>
          <w:sz w:val="22"/>
          <w:szCs w:val="22"/>
        </w:rPr>
        <w:t xml:space="preserve"> to be retained. </w:t>
      </w:r>
      <w:r w:rsidRPr="00A149E0">
        <w:rPr>
          <w:rFonts w:ascii="Arial" w:hAnsi="Arial" w:cs="Arial"/>
          <w:color w:val="auto"/>
          <w:sz w:val="22"/>
          <w:szCs w:val="22"/>
          <w:lang w:val="en-GB"/>
        </w:rPr>
        <w:t xml:space="preserve">The network of existing pedestrian and cycle routes through the town will be protected; and </w:t>
      </w:r>
      <w:r w:rsidRPr="00A149E0">
        <w:rPr>
          <w:rFonts w:ascii="Arial" w:hAnsi="Arial" w:cs="Arial"/>
          <w:color w:val="auto"/>
          <w:sz w:val="22"/>
          <w:szCs w:val="22"/>
        </w:rPr>
        <w:t xml:space="preserve">where development allows, opportunities </w:t>
      </w:r>
      <w:r w:rsidR="008D6452">
        <w:rPr>
          <w:rFonts w:ascii="Arial" w:hAnsi="Arial" w:cs="Arial"/>
          <w:color w:val="auto"/>
          <w:sz w:val="22"/>
          <w:szCs w:val="22"/>
        </w:rPr>
        <w:t>are encouraged</w:t>
      </w:r>
      <w:r w:rsidRPr="00A149E0">
        <w:rPr>
          <w:rFonts w:ascii="Arial" w:hAnsi="Arial" w:cs="Arial"/>
          <w:color w:val="auto"/>
          <w:sz w:val="22"/>
          <w:szCs w:val="22"/>
        </w:rPr>
        <w:t xml:space="preserve"> to connect to and improve the existing network</w:t>
      </w:r>
      <w:r w:rsidR="004E5E4E">
        <w:rPr>
          <w:rFonts w:ascii="Arial" w:hAnsi="Arial" w:cs="Arial"/>
          <w:color w:val="auto"/>
          <w:sz w:val="22"/>
          <w:szCs w:val="22"/>
        </w:rPr>
        <w:t xml:space="preserve">. </w:t>
      </w:r>
    </w:p>
    <w:p w:rsidR="00385CED" w:rsidRDefault="00385CED" w:rsidP="00385CED">
      <w:pPr>
        <w:pStyle w:val="ListParagraph"/>
        <w:rPr>
          <w:rFonts w:cs="Arial"/>
          <w:color w:val="auto"/>
          <w:szCs w:val="22"/>
        </w:rPr>
      </w:pPr>
    </w:p>
    <w:p w:rsidR="004E5E4E" w:rsidRDefault="00385CED" w:rsidP="00A73C69">
      <w:pPr>
        <w:pStyle w:val="PolicyText"/>
        <w:numPr>
          <w:ilvl w:val="0"/>
          <w:numId w:val="45"/>
        </w:numPr>
        <w:ind w:left="426" w:hanging="426"/>
        <w:rPr>
          <w:rFonts w:ascii="Arial" w:hAnsi="Arial" w:cs="Arial"/>
          <w:color w:val="auto"/>
          <w:sz w:val="22"/>
          <w:szCs w:val="22"/>
        </w:rPr>
      </w:pPr>
      <w:r>
        <w:rPr>
          <w:rFonts w:ascii="Arial" w:hAnsi="Arial" w:cs="Arial"/>
          <w:color w:val="auto"/>
          <w:sz w:val="22"/>
          <w:szCs w:val="22"/>
        </w:rPr>
        <w:t xml:space="preserve">Alongside the Neighbourhood Plan itself, the Regulations require that a statement </w:t>
      </w:r>
      <w:r w:rsidR="003A486D">
        <w:rPr>
          <w:rFonts w:ascii="Arial" w:hAnsi="Arial" w:cs="Arial"/>
          <w:color w:val="auto"/>
          <w:sz w:val="22"/>
          <w:szCs w:val="22"/>
        </w:rPr>
        <w:t>is submitted</w:t>
      </w:r>
      <w:r>
        <w:rPr>
          <w:rFonts w:ascii="Arial" w:hAnsi="Arial" w:cs="Arial"/>
          <w:color w:val="auto"/>
          <w:sz w:val="22"/>
          <w:szCs w:val="22"/>
        </w:rPr>
        <w:t xml:space="preserve"> which states how the Plan meets the specified ‘Basic Conditions’, a Consultation Statement; and confirmation that the Plan meets the Strat</w:t>
      </w:r>
      <w:r w:rsidR="003A486D">
        <w:rPr>
          <w:rFonts w:ascii="Arial" w:hAnsi="Arial" w:cs="Arial"/>
          <w:color w:val="auto"/>
          <w:sz w:val="22"/>
          <w:szCs w:val="22"/>
        </w:rPr>
        <w:t>egic Enviro</w:t>
      </w:r>
      <w:r>
        <w:rPr>
          <w:rFonts w:ascii="Arial" w:hAnsi="Arial" w:cs="Arial"/>
          <w:color w:val="auto"/>
          <w:sz w:val="22"/>
          <w:szCs w:val="22"/>
        </w:rPr>
        <w:t xml:space="preserve">nmental </w:t>
      </w:r>
      <w:r w:rsidR="00BF6350">
        <w:rPr>
          <w:rFonts w:ascii="Arial" w:hAnsi="Arial" w:cs="Arial"/>
          <w:color w:val="auto"/>
          <w:sz w:val="22"/>
          <w:szCs w:val="22"/>
        </w:rPr>
        <w:t>Assessment</w:t>
      </w:r>
      <w:r>
        <w:rPr>
          <w:rFonts w:ascii="Arial" w:hAnsi="Arial" w:cs="Arial"/>
          <w:color w:val="auto"/>
          <w:sz w:val="22"/>
          <w:szCs w:val="22"/>
        </w:rPr>
        <w:t xml:space="preserve"> and Habitats Regulations and other European legislation.  </w:t>
      </w:r>
    </w:p>
    <w:p w:rsidR="00385CED" w:rsidRDefault="00385CED" w:rsidP="00385CED">
      <w:pPr>
        <w:pStyle w:val="ListParagraph"/>
        <w:rPr>
          <w:rFonts w:cs="Arial"/>
          <w:color w:val="auto"/>
          <w:szCs w:val="22"/>
        </w:rPr>
      </w:pPr>
    </w:p>
    <w:p w:rsidR="00385CED" w:rsidRDefault="00385CED" w:rsidP="00A73C69">
      <w:pPr>
        <w:pStyle w:val="PolicyText"/>
        <w:numPr>
          <w:ilvl w:val="0"/>
          <w:numId w:val="45"/>
        </w:numPr>
        <w:ind w:left="426" w:hanging="426"/>
        <w:rPr>
          <w:rFonts w:ascii="Arial" w:hAnsi="Arial" w:cs="Arial"/>
          <w:color w:val="auto"/>
          <w:sz w:val="22"/>
          <w:szCs w:val="22"/>
        </w:rPr>
      </w:pPr>
      <w:r>
        <w:rPr>
          <w:rFonts w:ascii="Arial" w:hAnsi="Arial" w:cs="Arial"/>
          <w:color w:val="auto"/>
          <w:sz w:val="22"/>
          <w:szCs w:val="22"/>
        </w:rPr>
        <w:t>On receipt of the Submission Documents, the Council carried out the required public consultation for a period of six weeks</w:t>
      </w:r>
      <w:r w:rsidR="002003F3">
        <w:rPr>
          <w:rFonts w:ascii="Arial" w:hAnsi="Arial" w:cs="Arial"/>
          <w:color w:val="auto"/>
          <w:sz w:val="22"/>
          <w:szCs w:val="22"/>
        </w:rPr>
        <w:t xml:space="preserve"> under Regulation 16</w:t>
      </w:r>
      <w:r>
        <w:rPr>
          <w:rFonts w:ascii="Arial" w:hAnsi="Arial" w:cs="Arial"/>
          <w:color w:val="auto"/>
          <w:sz w:val="22"/>
          <w:szCs w:val="22"/>
        </w:rPr>
        <w:t xml:space="preserve">; this included a notice in the press </w:t>
      </w:r>
      <w:r w:rsidR="004D78AF">
        <w:rPr>
          <w:rFonts w:ascii="Arial" w:hAnsi="Arial" w:cs="Arial"/>
          <w:color w:val="auto"/>
          <w:sz w:val="22"/>
          <w:szCs w:val="22"/>
        </w:rPr>
        <w:t xml:space="preserve">and at </w:t>
      </w:r>
      <w:r w:rsidR="004D78AF">
        <w:rPr>
          <w:rFonts w:ascii="Arial" w:hAnsi="Arial" w:cs="Arial"/>
          <w:color w:val="auto"/>
          <w:sz w:val="22"/>
          <w:szCs w:val="22"/>
        </w:rPr>
        <w:lastRenderedPageBreak/>
        <w:t xml:space="preserve">Wincanton Town Hall </w:t>
      </w:r>
      <w:r>
        <w:rPr>
          <w:rFonts w:ascii="Arial" w:hAnsi="Arial" w:cs="Arial"/>
          <w:color w:val="auto"/>
          <w:sz w:val="22"/>
          <w:szCs w:val="22"/>
        </w:rPr>
        <w:t xml:space="preserve">and writing to all authorities, utility providers, a wide range of stakeholders and other bodies considered </w:t>
      </w:r>
      <w:r w:rsidR="004D78AF">
        <w:rPr>
          <w:rFonts w:ascii="Arial" w:hAnsi="Arial" w:cs="Arial"/>
          <w:color w:val="auto"/>
          <w:sz w:val="22"/>
          <w:szCs w:val="22"/>
        </w:rPr>
        <w:t xml:space="preserve">to have an interest in the Plan, including those that the Neighbourhood Plan Steering Group had consulted itself.  The submission documentation was made available on the Council’s website and hard copies were made available at Wincanton Town Hall. </w:t>
      </w:r>
    </w:p>
    <w:p w:rsidR="004D78AF" w:rsidRDefault="004D78AF" w:rsidP="004D78AF">
      <w:pPr>
        <w:pStyle w:val="ListParagraph"/>
        <w:rPr>
          <w:rFonts w:cs="Arial"/>
          <w:color w:val="auto"/>
          <w:szCs w:val="22"/>
        </w:rPr>
      </w:pPr>
    </w:p>
    <w:p w:rsidR="004D78AF" w:rsidRDefault="004D78AF" w:rsidP="00A73C69">
      <w:pPr>
        <w:pStyle w:val="PolicyText"/>
        <w:numPr>
          <w:ilvl w:val="0"/>
          <w:numId w:val="45"/>
        </w:numPr>
        <w:ind w:left="426" w:hanging="426"/>
        <w:rPr>
          <w:rFonts w:ascii="Arial" w:hAnsi="Arial" w:cs="Arial"/>
          <w:color w:val="auto"/>
          <w:sz w:val="22"/>
          <w:szCs w:val="22"/>
        </w:rPr>
      </w:pPr>
      <w:r>
        <w:rPr>
          <w:rFonts w:ascii="Arial" w:hAnsi="Arial" w:cs="Arial"/>
          <w:color w:val="auto"/>
          <w:sz w:val="22"/>
          <w:szCs w:val="22"/>
        </w:rPr>
        <w:t>A total of seven responses were received and the District Council also presented its own comments; these were</w:t>
      </w:r>
      <w:r w:rsidR="003A486D">
        <w:rPr>
          <w:rFonts w:ascii="Arial" w:hAnsi="Arial" w:cs="Arial"/>
          <w:color w:val="auto"/>
          <w:sz w:val="22"/>
          <w:szCs w:val="22"/>
        </w:rPr>
        <w:t xml:space="preserve"> all</w:t>
      </w:r>
      <w:r>
        <w:rPr>
          <w:rFonts w:ascii="Arial" w:hAnsi="Arial" w:cs="Arial"/>
          <w:color w:val="auto"/>
          <w:sz w:val="22"/>
          <w:szCs w:val="22"/>
        </w:rPr>
        <w:t xml:space="preserve"> sent to the Examiner. </w:t>
      </w:r>
    </w:p>
    <w:p w:rsidR="008049DF" w:rsidRDefault="008049DF" w:rsidP="008049DF">
      <w:pPr>
        <w:pStyle w:val="ListParagraph"/>
        <w:rPr>
          <w:rFonts w:cs="Arial"/>
          <w:color w:val="auto"/>
          <w:szCs w:val="22"/>
        </w:rPr>
      </w:pPr>
    </w:p>
    <w:p w:rsidR="008049DF" w:rsidRDefault="008049DF" w:rsidP="00A73C69">
      <w:pPr>
        <w:pStyle w:val="PolicyText"/>
        <w:numPr>
          <w:ilvl w:val="0"/>
          <w:numId w:val="45"/>
        </w:numPr>
        <w:ind w:left="426" w:hanging="426"/>
        <w:rPr>
          <w:rFonts w:ascii="Arial" w:hAnsi="Arial" w:cs="Arial"/>
          <w:color w:val="auto"/>
          <w:sz w:val="22"/>
          <w:szCs w:val="22"/>
        </w:rPr>
      </w:pPr>
      <w:r>
        <w:rPr>
          <w:rFonts w:ascii="Arial" w:hAnsi="Arial" w:cs="Arial"/>
          <w:color w:val="auto"/>
          <w:sz w:val="22"/>
          <w:szCs w:val="22"/>
        </w:rPr>
        <w:t>The Examiner’s Report concludes that the correct procedure for the preparation and submission of the Wincanton Neighbourhood Plan was followed and that it meets the ‘Basic Conditions’, subject to several Proposed Modification</w:t>
      </w:r>
      <w:r w:rsidR="00A30E47">
        <w:rPr>
          <w:rFonts w:ascii="Arial" w:hAnsi="Arial" w:cs="Arial"/>
          <w:color w:val="auto"/>
          <w:sz w:val="22"/>
          <w:szCs w:val="22"/>
        </w:rPr>
        <w:t>s being made. The amended docume</w:t>
      </w:r>
      <w:r>
        <w:rPr>
          <w:rFonts w:ascii="Arial" w:hAnsi="Arial" w:cs="Arial"/>
          <w:color w:val="auto"/>
          <w:sz w:val="22"/>
          <w:szCs w:val="22"/>
        </w:rPr>
        <w:t xml:space="preserve">nt in accordance with these </w:t>
      </w:r>
      <w:r w:rsidR="00A30E47">
        <w:rPr>
          <w:rFonts w:ascii="Arial" w:hAnsi="Arial" w:cs="Arial"/>
          <w:color w:val="auto"/>
          <w:sz w:val="22"/>
          <w:szCs w:val="22"/>
        </w:rPr>
        <w:t xml:space="preserve">proposed changes </w:t>
      </w:r>
      <w:r>
        <w:rPr>
          <w:rFonts w:ascii="Arial" w:hAnsi="Arial" w:cs="Arial"/>
          <w:color w:val="auto"/>
          <w:sz w:val="22"/>
          <w:szCs w:val="22"/>
        </w:rPr>
        <w:t>is appended to this rep</w:t>
      </w:r>
      <w:r w:rsidR="00A30E47">
        <w:rPr>
          <w:rFonts w:ascii="Arial" w:hAnsi="Arial" w:cs="Arial"/>
          <w:color w:val="auto"/>
          <w:sz w:val="22"/>
          <w:szCs w:val="22"/>
        </w:rPr>
        <w:t>ort, together with the Examiner’</w:t>
      </w:r>
      <w:r>
        <w:rPr>
          <w:rFonts w:ascii="Arial" w:hAnsi="Arial" w:cs="Arial"/>
          <w:color w:val="auto"/>
          <w:sz w:val="22"/>
          <w:szCs w:val="22"/>
        </w:rPr>
        <w:t xml:space="preserve">s Report. The original Submission </w:t>
      </w:r>
      <w:r w:rsidR="00A30E47">
        <w:rPr>
          <w:rFonts w:ascii="Arial" w:hAnsi="Arial" w:cs="Arial"/>
          <w:color w:val="auto"/>
          <w:sz w:val="22"/>
          <w:szCs w:val="22"/>
        </w:rPr>
        <w:t>Plan</w:t>
      </w:r>
      <w:r>
        <w:rPr>
          <w:rFonts w:ascii="Arial" w:hAnsi="Arial" w:cs="Arial"/>
          <w:color w:val="auto"/>
          <w:sz w:val="22"/>
          <w:szCs w:val="22"/>
        </w:rPr>
        <w:t>, supporting documents and representations received are all available on the District Council</w:t>
      </w:r>
      <w:r w:rsidR="00A30E47">
        <w:rPr>
          <w:rFonts w:ascii="Arial" w:hAnsi="Arial" w:cs="Arial"/>
          <w:color w:val="auto"/>
          <w:sz w:val="22"/>
          <w:szCs w:val="22"/>
        </w:rPr>
        <w:t>’</w:t>
      </w:r>
      <w:r>
        <w:rPr>
          <w:rFonts w:ascii="Arial" w:hAnsi="Arial" w:cs="Arial"/>
          <w:color w:val="auto"/>
          <w:sz w:val="22"/>
          <w:szCs w:val="22"/>
        </w:rPr>
        <w:t xml:space="preserve">s website - </w:t>
      </w:r>
      <w:hyperlink r:id="rId9" w:history="1">
        <w:r w:rsidR="00A30E47" w:rsidRPr="00A30E47">
          <w:rPr>
            <w:rStyle w:val="Hyperlink"/>
            <w:rFonts w:ascii="Arial" w:hAnsi="Arial" w:cs="Arial"/>
            <w:sz w:val="22"/>
            <w:szCs w:val="22"/>
          </w:rPr>
          <w:t>South Somerset District Council - Wincanton Neighbourhood Area Designation</w:t>
        </w:r>
      </w:hyperlink>
      <w:r w:rsidR="002003F3">
        <w:rPr>
          <w:rFonts w:ascii="Arial" w:hAnsi="Arial" w:cs="Arial"/>
          <w:color w:val="auto"/>
          <w:sz w:val="22"/>
          <w:szCs w:val="22"/>
        </w:rPr>
        <w:t>. Wincanton T</w:t>
      </w:r>
      <w:r w:rsidR="00861A5A">
        <w:rPr>
          <w:rFonts w:ascii="Arial" w:hAnsi="Arial" w:cs="Arial"/>
          <w:color w:val="auto"/>
          <w:sz w:val="22"/>
          <w:szCs w:val="22"/>
        </w:rPr>
        <w:t xml:space="preserve">own Council </w:t>
      </w:r>
      <w:r w:rsidR="007962F5">
        <w:rPr>
          <w:rFonts w:ascii="Arial" w:hAnsi="Arial" w:cs="Arial"/>
          <w:color w:val="auto"/>
          <w:sz w:val="22"/>
          <w:szCs w:val="22"/>
        </w:rPr>
        <w:t>accepted</w:t>
      </w:r>
      <w:r w:rsidR="00861A5A">
        <w:rPr>
          <w:rFonts w:ascii="Arial" w:hAnsi="Arial" w:cs="Arial"/>
          <w:color w:val="auto"/>
          <w:sz w:val="22"/>
          <w:szCs w:val="22"/>
        </w:rPr>
        <w:t xml:space="preserve"> the Exam</w:t>
      </w:r>
      <w:r w:rsidR="007962F5">
        <w:rPr>
          <w:rFonts w:ascii="Arial" w:hAnsi="Arial" w:cs="Arial"/>
          <w:color w:val="auto"/>
          <w:sz w:val="22"/>
          <w:szCs w:val="22"/>
        </w:rPr>
        <w:t>iner’s Proposed Modifications at its meeting on 15</w:t>
      </w:r>
      <w:r w:rsidR="007962F5" w:rsidRPr="007962F5">
        <w:rPr>
          <w:rFonts w:ascii="Arial" w:hAnsi="Arial" w:cs="Arial"/>
          <w:color w:val="auto"/>
          <w:sz w:val="22"/>
          <w:szCs w:val="22"/>
          <w:vertAlign w:val="superscript"/>
        </w:rPr>
        <w:t>th</w:t>
      </w:r>
      <w:r w:rsidR="007962F5">
        <w:rPr>
          <w:rFonts w:ascii="Arial" w:hAnsi="Arial" w:cs="Arial"/>
          <w:color w:val="auto"/>
          <w:sz w:val="22"/>
          <w:szCs w:val="22"/>
        </w:rPr>
        <w:t xml:space="preserve"> November 2017.</w:t>
      </w:r>
    </w:p>
    <w:p w:rsidR="00A30E47" w:rsidRDefault="00A30E47" w:rsidP="00A30E47">
      <w:pPr>
        <w:pStyle w:val="ListParagraph"/>
        <w:rPr>
          <w:rFonts w:cs="Arial"/>
          <w:color w:val="auto"/>
          <w:szCs w:val="22"/>
        </w:rPr>
      </w:pPr>
    </w:p>
    <w:p w:rsidR="002003F3" w:rsidRDefault="00861A5A" w:rsidP="00A73C69">
      <w:pPr>
        <w:pStyle w:val="PolicyText"/>
        <w:numPr>
          <w:ilvl w:val="0"/>
          <w:numId w:val="45"/>
        </w:numPr>
        <w:ind w:left="426" w:hanging="426"/>
        <w:rPr>
          <w:rFonts w:ascii="Arial" w:hAnsi="Arial" w:cs="Arial"/>
          <w:color w:val="auto"/>
          <w:sz w:val="22"/>
          <w:szCs w:val="22"/>
        </w:rPr>
      </w:pPr>
      <w:r w:rsidRPr="008D6452">
        <w:rPr>
          <w:rFonts w:ascii="Arial" w:hAnsi="Arial" w:cs="Arial"/>
          <w:color w:val="auto"/>
          <w:sz w:val="22"/>
          <w:szCs w:val="22"/>
        </w:rPr>
        <w:t xml:space="preserve">If the District Council accepts the Examiner’s recommendations, the next stage would be to hold a local referendum in Wincanton. The prescribed question that needs to be asked is </w:t>
      </w:r>
    </w:p>
    <w:p w:rsidR="002003F3" w:rsidRDefault="002003F3" w:rsidP="002003F3">
      <w:pPr>
        <w:pStyle w:val="ListParagraph"/>
        <w:rPr>
          <w:rFonts w:cs="Arial"/>
          <w:color w:val="auto"/>
          <w:szCs w:val="22"/>
        </w:rPr>
      </w:pPr>
    </w:p>
    <w:p w:rsidR="002003F3" w:rsidRPr="006A53C9" w:rsidRDefault="00861A5A" w:rsidP="002003F3">
      <w:pPr>
        <w:pStyle w:val="PolicyText"/>
        <w:ind w:left="426"/>
        <w:rPr>
          <w:rFonts w:ascii="Arial" w:hAnsi="Arial" w:cs="Arial"/>
          <w:color w:val="auto"/>
          <w:sz w:val="22"/>
          <w:szCs w:val="22"/>
        </w:rPr>
      </w:pPr>
      <w:r w:rsidRPr="006A53C9">
        <w:rPr>
          <w:rFonts w:ascii="Arial" w:hAnsi="Arial" w:cs="Arial"/>
          <w:color w:val="auto"/>
          <w:sz w:val="22"/>
          <w:szCs w:val="22"/>
        </w:rPr>
        <w:t>“</w:t>
      </w:r>
      <w:r w:rsidRPr="006A53C9">
        <w:rPr>
          <w:rFonts w:ascii="Arial" w:hAnsi="Arial" w:cs="Arial"/>
          <w:i/>
          <w:color w:val="auto"/>
          <w:sz w:val="22"/>
          <w:szCs w:val="22"/>
        </w:rPr>
        <w:t>Do you want South Somerset District Council to use the Neighbourhood Plan for Wincanton to help it decide planning applications in the neighbourhood area</w:t>
      </w:r>
      <w:r w:rsidRPr="006A53C9">
        <w:rPr>
          <w:rFonts w:ascii="Arial" w:hAnsi="Arial" w:cs="Arial"/>
          <w:color w:val="auto"/>
          <w:sz w:val="22"/>
          <w:szCs w:val="22"/>
        </w:rPr>
        <w:t>”.</w:t>
      </w:r>
    </w:p>
    <w:p w:rsidR="002003F3" w:rsidRDefault="002003F3" w:rsidP="002003F3">
      <w:pPr>
        <w:pStyle w:val="PolicyText"/>
        <w:ind w:left="426"/>
        <w:rPr>
          <w:rFonts w:ascii="Arial" w:hAnsi="Arial" w:cs="Arial"/>
          <w:color w:val="auto"/>
        </w:rPr>
      </w:pPr>
    </w:p>
    <w:p w:rsidR="00A149E0" w:rsidRPr="008D6452" w:rsidRDefault="002003F3" w:rsidP="002003F3">
      <w:pPr>
        <w:pStyle w:val="PolicyText"/>
        <w:ind w:left="426"/>
        <w:rPr>
          <w:rFonts w:ascii="Arial" w:hAnsi="Arial" w:cs="Arial"/>
          <w:color w:val="auto"/>
          <w:sz w:val="22"/>
          <w:szCs w:val="22"/>
        </w:rPr>
      </w:pPr>
      <w:r>
        <w:rPr>
          <w:rFonts w:ascii="Arial" w:hAnsi="Arial" w:cs="Arial"/>
          <w:color w:val="auto"/>
          <w:sz w:val="22"/>
          <w:szCs w:val="22"/>
        </w:rPr>
        <w:t>If more than 50% of those who</w:t>
      </w:r>
      <w:r w:rsidR="00861A5A" w:rsidRPr="008D6452">
        <w:rPr>
          <w:rFonts w:ascii="Arial" w:hAnsi="Arial" w:cs="Arial"/>
          <w:color w:val="auto"/>
          <w:sz w:val="22"/>
          <w:szCs w:val="22"/>
        </w:rPr>
        <w:t xml:space="preserve"> </w:t>
      </w:r>
      <w:r w:rsidR="003A486D" w:rsidRPr="008D6452">
        <w:rPr>
          <w:rFonts w:ascii="Arial" w:hAnsi="Arial" w:cs="Arial"/>
          <w:color w:val="auto"/>
          <w:sz w:val="22"/>
          <w:szCs w:val="22"/>
        </w:rPr>
        <w:t xml:space="preserve">vote </w:t>
      </w:r>
      <w:r>
        <w:rPr>
          <w:rFonts w:ascii="Arial" w:hAnsi="Arial" w:cs="Arial"/>
          <w:color w:val="auto"/>
          <w:sz w:val="22"/>
          <w:szCs w:val="22"/>
        </w:rPr>
        <w:t xml:space="preserve">say </w:t>
      </w:r>
      <w:r w:rsidR="003A486D" w:rsidRPr="008D6452">
        <w:rPr>
          <w:rFonts w:ascii="Arial" w:hAnsi="Arial" w:cs="Arial"/>
          <w:color w:val="auto"/>
          <w:sz w:val="22"/>
          <w:szCs w:val="22"/>
        </w:rPr>
        <w:t>Y</w:t>
      </w:r>
      <w:r w:rsidR="00861A5A" w:rsidRPr="008D6452">
        <w:rPr>
          <w:rFonts w:ascii="Arial" w:hAnsi="Arial" w:cs="Arial"/>
          <w:color w:val="auto"/>
          <w:sz w:val="22"/>
          <w:szCs w:val="22"/>
        </w:rPr>
        <w:t xml:space="preserve">es, the Neighbourhood Plan is ‘made’ (or adopted); and it becomes part of the statutory Development Plan for the District Council and needs to be taken account in the determination of planning applications. </w:t>
      </w:r>
    </w:p>
    <w:p w:rsidR="00495590" w:rsidRPr="008D6452" w:rsidRDefault="00495590" w:rsidP="00495590">
      <w:pPr>
        <w:pStyle w:val="ListParagraph"/>
        <w:rPr>
          <w:rFonts w:cs="Arial"/>
          <w:color w:val="auto"/>
          <w:szCs w:val="22"/>
        </w:rPr>
      </w:pPr>
    </w:p>
    <w:p w:rsidR="005245A2" w:rsidRPr="00121D17" w:rsidRDefault="005245A2" w:rsidP="00704F67">
      <w:pPr>
        <w:tabs>
          <w:tab w:val="left" w:pos="-7"/>
          <w:tab w:val="left" w:pos="8620"/>
        </w:tabs>
        <w:rPr>
          <w:b/>
          <w:bCs/>
          <w:color w:val="auto"/>
          <w:sz w:val="24"/>
          <w:lang w:val="en-US"/>
        </w:rPr>
      </w:pPr>
      <w:r w:rsidRPr="00121D17">
        <w:rPr>
          <w:b/>
          <w:bCs/>
          <w:color w:val="auto"/>
          <w:sz w:val="24"/>
          <w:lang w:val="en-US"/>
        </w:rPr>
        <w:t>Financial Implications</w:t>
      </w:r>
    </w:p>
    <w:p w:rsidR="005245A2" w:rsidRPr="00121D17" w:rsidRDefault="005245A2" w:rsidP="00704F67">
      <w:pPr>
        <w:rPr>
          <w:color w:val="auto"/>
          <w:lang w:val="en-US"/>
        </w:rPr>
      </w:pPr>
    </w:p>
    <w:p w:rsidR="0090676E" w:rsidRDefault="0090676E" w:rsidP="00CC7B72">
      <w:pPr>
        <w:pStyle w:val="NormalWeb"/>
        <w:numPr>
          <w:ilvl w:val="0"/>
          <w:numId w:val="45"/>
        </w:numPr>
        <w:spacing w:before="0" w:beforeAutospacing="0"/>
        <w:ind w:left="426" w:hanging="426"/>
        <w:rPr>
          <w:rFonts w:ascii="Arial" w:hAnsi="Arial" w:cs="Arial"/>
          <w:sz w:val="22"/>
          <w:szCs w:val="22"/>
          <w:lang w:val="en"/>
        </w:rPr>
      </w:pPr>
      <w:r w:rsidRPr="0090676E">
        <w:rPr>
          <w:rFonts w:ascii="Arial" w:hAnsi="Arial" w:cs="Arial"/>
          <w:sz w:val="22"/>
          <w:szCs w:val="22"/>
          <w:lang w:val="en"/>
        </w:rPr>
        <w:t xml:space="preserve">Under the Community Infrastructure Levy Regulations, 15% of Community Infrastructure Levy receipts are </w:t>
      </w:r>
      <w:r w:rsidR="005E2934">
        <w:rPr>
          <w:rFonts w:ascii="Arial" w:hAnsi="Arial" w:cs="Arial"/>
          <w:sz w:val="22"/>
          <w:szCs w:val="22"/>
          <w:lang w:val="en"/>
        </w:rPr>
        <w:t xml:space="preserve">generally </w:t>
      </w:r>
      <w:r w:rsidRPr="0090676E">
        <w:rPr>
          <w:rFonts w:ascii="Arial" w:hAnsi="Arial" w:cs="Arial"/>
          <w:sz w:val="22"/>
          <w:szCs w:val="22"/>
          <w:lang w:val="en"/>
        </w:rPr>
        <w:t>passed directly to those parish and town councils (in England) where development has taken place. In England, communities that draw up a neighbourhood plan and secure the consent of local people in a referendum, will benefit from 25% of the levy revenues arising from the development that takes place in their area</w:t>
      </w:r>
      <w:r w:rsidR="005E2934">
        <w:rPr>
          <w:rFonts w:ascii="Arial" w:hAnsi="Arial" w:cs="Arial"/>
          <w:sz w:val="22"/>
          <w:szCs w:val="22"/>
          <w:lang w:val="en"/>
        </w:rPr>
        <w:t>.</w:t>
      </w:r>
    </w:p>
    <w:p w:rsidR="002003F3" w:rsidRPr="001C2E3B" w:rsidRDefault="00CC7B72" w:rsidP="002003F3">
      <w:pPr>
        <w:pStyle w:val="NormalWeb"/>
        <w:numPr>
          <w:ilvl w:val="0"/>
          <w:numId w:val="45"/>
        </w:numPr>
        <w:spacing w:before="240" w:beforeAutospacing="0"/>
        <w:ind w:left="426" w:hanging="426"/>
        <w:rPr>
          <w:rFonts w:ascii="Arial" w:hAnsi="Arial" w:cs="Arial"/>
          <w:sz w:val="22"/>
          <w:szCs w:val="22"/>
          <w:lang w:val="en"/>
        </w:rPr>
      </w:pPr>
      <w:r w:rsidRPr="001C2E3B">
        <w:rPr>
          <w:rFonts w:ascii="Arial" w:hAnsi="Arial" w:cs="Arial"/>
          <w:sz w:val="22"/>
          <w:szCs w:val="22"/>
          <w:lang w:val="en"/>
        </w:rPr>
        <w:t>The District Council does not have the option to decline to hold the Referendum as this is required by legislation; and the associated costs will need to be absorbed in</w:t>
      </w:r>
      <w:r w:rsidR="00BD166B">
        <w:rPr>
          <w:rFonts w:ascii="Arial" w:hAnsi="Arial" w:cs="Arial"/>
          <w:sz w:val="22"/>
          <w:szCs w:val="22"/>
          <w:lang w:val="en"/>
        </w:rPr>
        <w:t>to existing budgetary arrangements</w:t>
      </w:r>
      <w:r w:rsidRPr="001C2E3B">
        <w:rPr>
          <w:rFonts w:ascii="Arial" w:hAnsi="Arial" w:cs="Arial"/>
          <w:sz w:val="22"/>
          <w:szCs w:val="22"/>
          <w:lang w:val="en"/>
        </w:rPr>
        <w:t xml:space="preserve">. However, the Council is able to claim </w:t>
      </w:r>
      <w:r w:rsidR="00B72191">
        <w:rPr>
          <w:rFonts w:ascii="Arial" w:hAnsi="Arial" w:cs="Arial"/>
          <w:sz w:val="22"/>
          <w:szCs w:val="22"/>
          <w:lang w:val="en"/>
        </w:rPr>
        <w:t xml:space="preserve">a grant of </w:t>
      </w:r>
      <w:r w:rsidRPr="001C2E3B">
        <w:rPr>
          <w:rFonts w:ascii="Arial" w:hAnsi="Arial" w:cs="Arial"/>
          <w:sz w:val="22"/>
          <w:szCs w:val="22"/>
          <w:lang w:val="en"/>
        </w:rPr>
        <w:t xml:space="preserve">up to £20,000 </w:t>
      </w:r>
      <w:r w:rsidR="004D685E">
        <w:rPr>
          <w:rFonts w:ascii="Arial" w:hAnsi="Arial" w:cs="Arial"/>
          <w:sz w:val="22"/>
          <w:szCs w:val="22"/>
          <w:lang w:val="en"/>
        </w:rPr>
        <w:t xml:space="preserve">towards the costs of progressing the Neighbourhood Plan </w:t>
      </w:r>
      <w:r w:rsidRPr="001C2E3B">
        <w:rPr>
          <w:rFonts w:ascii="Arial" w:hAnsi="Arial" w:cs="Arial"/>
          <w:sz w:val="22"/>
          <w:szCs w:val="22"/>
          <w:lang w:val="en"/>
        </w:rPr>
        <w:t xml:space="preserve">from the Department for Communities and Local Government </w:t>
      </w:r>
      <w:r w:rsidR="001C2E3B" w:rsidRPr="001C2E3B">
        <w:rPr>
          <w:rFonts w:ascii="Arial" w:hAnsi="Arial" w:cs="Arial"/>
          <w:sz w:val="22"/>
          <w:szCs w:val="22"/>
          <w:lang w:val="en"/>
        </w:rPr>
        <w:t>once the date of the Referendum has been set.</w:t>
      </w:r>
    </w:p>
    <w:p w:rsidR="002003F3" w:rsidRDefault="002003F3" w:rsidP="002003F3">
      <w:pPr>
        <w:pStyle w:val="NormalWeb"/>
        <w:rPr>
          <w:rFonts w:ascii="Arial" w:hAnsi="Arial" w:cs="Arial"/>
          <w:sz w:val="22"/>
          <w:szCs w:val="22"/>
          <w:lang w:val="en"/>
        </w:rPr>
      </w:pPr>
    </w:p>
    <w:p w:rsidR="002003F3" w:rsidRDefault="002003F3" w:rsidP="002003F3">
      <w:pPr>
        <w:pStyle w:val="NormalWeb"/>
        <w:rPr>
          <w:rFonts w:ascii="Arial" w:hAnsi="Arial" w:cs="Arial"/>
          <w:sz w:val="22"/>
          <w:szCs w:val="22"/>
          <w:lang w:val="en"/>
        </w:rPr>
      </w:pPr>
    </w:p>
    <w:p w:rsidR="002003F3" w:rsidRDefault="002003F3" w:rsidP="002003F3">
      <w:pPr>
        <w:pStyle w:val="NormalWeb"/>
        <w:rPr>
          <w:rFonts w:ascii="Arial" w:hAnsi="Arial" w:cs="Arial"/>
          <w:sz w:val="22"/>
          <w:szCs w:val="22"/>
          <w:lang w:val="en"/>
        </w:rPr>
      </w:pPr>
    </w:p>
    <w:p w:rsidR="002003F3" w:rsidRPr="0090676E" w:rsidRDefault="002003F3" w:rsidP="002003F3">
      <w:pPr>
        <w:pStyle w:val="NormalWeb"/>
        <w:rPr>
          <w:rFonts w:ascii="Arial" w:hAnsi="Arial" w:cs="Arial"/>
          <w:sz w:val="22"/>
          <w:szCs w:val="22"/>
          <w:lang w:val="en"/>
        </w:rPr>
      </w:pPr>
    </w:p>
    <w:p w:rsidR="001C2E3B" w:rsidRDefault="001C2E3B" w:rsidP="00704F67">
      <w:pPr>
        <w:rPr>
          <w:b/>
          <w:bCs/>
          <w:color w:val="auto"/>
          <w:sz w:val="24"/>
          <w:lang w:val="en-US"/>
        </w:rPr>
      </w:pPr>
    </w:p>
    <w:p w:rsidR="001C2E3B" w:rsidRDefault="001C2E3B" w:rsidP="00704F67">
      <w:pPr>
        <w:rPr>
          <w:b/>
          <w:bCs/>
          <w:color w:val="auto"/>
          <w:sz w:val="24"/>
          <w:lang w:val="en-US"/>
        </w:rPr>
      </w:pPr>
    </w:p>
    <w:p w:rsidR="001C2E3B" w:rsidRDefault="001C2E3B" w:rsidP="00704F67">
      <w:pPr>
        <w:rPr>
          <w:b/>
          <w:bCs/>
          <w:color w:val="auto"/>
          <w:sz w:val="24"/>
          <w:lang w:val="en-US"/>
        </w:rPr>
      </w:pPr>
    </w:p>
    <w:p w:rsidR="00E75E38" w:rsidRDefault="00E75E38" w:rsidP="00704F67">
      <w:pPr>
        <w:rPr>
          <w:b/>
          <w:bCs/>
          <w:color w:val="auto"/>
          <w:sz w:val="24"/>
          <w:lang w:val="en-US"/>
        </w:rPr>
      </w:pPr>
    </w:p>
    <w:p w:rsidR="001C2E3B" w:rsidRDefault="001C2E3B" w:rsidP="00704F67">
      <w:pPr>
        <w:rPr>
          <w:b/>
          <w:bCs/>
          <w:color w:val="auto"/>
          <w:sz w:val="24"/>
          <w:lang w:val="en-US"/>
        </w:rPr>
      </w:pPr>
      <w:bookmarkStart w:id="1" w:name="_GoBack"/>
      <w:bookmarkEnd w:id="1"/>
    </w:p>
    <w:p w:rsidR="007A3588" w:rsidRPr="00121D17" w:rsidRDefault="007A3588" w:rsidP="00704F67">
      <w:pPr>
        <w:rPr>
          <w:b/>
          <w:bCs/>
          <w:color w:val="auto"/>
          <w:sz w:val="24"/>
          <w:lang w:val="en-US"/>
        </w:rPr>
      </w:pPr>
      <w:r w:rsidRPr="00121D17">
        <w:rPr>
          <w:b/>
          <w:bCs/>
          <w:color w:val="auto"/>
          <w:sz w:val="24"/>
          <w:lang w:val="en-US"/>
        </w:rPr>
        <w:lastRenderedPageBreak/>
        <w:t xml:space="preserve">Risk Matrix </w:t>
      </w:r>
    </w:p>
    <w:p w:rsidR="007A3588" w:rsidRDefault="007A3588" w:rsidP="00704F67">
      <w:pPr>
        <w:rPr>
          <w:color w:val="auto"/>
        </w:rPr>
      </w:pPr>
    </w:p>
    <w:tbl>
      <w:tblPr>
        <w:tblStyle w:val="TableGrid1"/>
        <w:tblW w:w="0" w:type="auto"/>
        <w:tblInd w:w="-176" w:type="dxa"/>
        <w:tblLook w:val="04A0" w:firstRow="1" w:lastRow="0" w:firstColumn="1" w:lastColumn="0" w:noHBand="0" w:noVBand="1"/>
      </w:tblPr>
      <w:tblGrid>
        <w:gridCol w:w="4819"/>
        <w:gridCol w:w="4643"/>
      </w:tblGrid>
      <w:tr w:rsidR="00AF2B9A" w:rsidRPr="00AF2B9A" w:rsidTr="000D04EE">
        <w:trPr>
          <w:trHeight w:val="509"/>
        </w:trPr>
        <w:tc>
          <w:tcPr>
            <w:tcW w:w="4819" w:type="dxa"/>
            <w:tcBorders>
              <w:top w:val="nil"/>
              <w:left w:val="nil"/>
              <w:bottom w:val="nil"/>
              <w:right w:val="nil"/>
            </w:tcBorders>
          </w:tcPr>
          <w:p w:rsidR="00AF2B9A" w:rsidRPr="00AF2B9A" w:rsidRDefault="00AF2B9A" w:rsidP="00704F67">
            <w:pPr>
              <w:rPr>
                <w:rFonts w:cs="Arial"/>
                <w:b/>
                <w:bCs/>
                <w:color w:val="auto"/>
                <w:sz w:val="21"/>
                <w:szCs w:val="21"/>
                <w:lang w:val="en-US" w:eastAsia="en-GB"/>
              </w:rPr>
            </w:pPr>
            <w:r w:rsidRPr="00AF2B9A">
              <w:rPr>
                <w:rFonts w:cs="Arial"/>
                <w:b/>
                <w:bCs/>
                <w:color w:val="auto"/>
                <w:sz w:val="21"/>
                <w:szCs w:val="21"/>
                <w:lang w:val="en-US" w:eastAsia="en-GB"/>
              </w:rPr>
              <w:t xml:space="preserve">Risk Profile before officer recommendations </w:t>
            </w:r>
          </w:p>
        </w:tc>
        <w:tc>
          <w:tcPr>
            <w:tcW w:w="4643" w:type="dxa"/>
            <w:tcBorders>
              <w:top w:val="nil"/>
              <w:left w:val="nil"/>
              <w:bottom w:val="nil"/>
              <w:right w:val="nil"/>
            </w:tcBorders>
          </w:tcPr>
          <w:p w:rsidR="00AF2B9A" w:rsidRPr="00AF2B9A" w:rsidRDefault="00AF2B9A" w:rsidP="00704F67">
            <w:pPr>
              <w:rPr>
                <w:rFonts w:cs="Arial"/>
                <w:b/>
                <w:color w:val="auto"/>
                <w:sz w:val="21"/>
                <w:szCs w:val="21"/>
                <w:lang w:eastAsia="en-GB"/>
              </w:rPr>
            </w:pPr>
            <w:r w:rsidRPr="00AF2B9A">
              <w:rPr>
                <w:rFonts w:cs="Arial"/>
                <w:b/>
                <w:color w:val="auto"/>
                <w:sz w:val="21"/>
                <w:szCs w:val="21"/>
                <w:lang w:eastAsia="en-GB"/>
              </w:rPr>
              <w:t>Risk Profile after officer recommendations</w:t>
            </w:r>
          </w:p>
          <w:p w:rsidR="00AF2B9A" w:rsidRPr="00AF2B9A" w:rsidRDefault="00AF2B9A" w:rsidP="00704F67">
            <w:pPr>
              <w:rPr>
                <w:rFonts w:cs="Arial"/>
                <w:b/>
                <w:bCs/>
                <w:color w:val="auto"/>
                <w:sz w:val="21"/>
                <w:szCs w:val="21"/>
                <w:lang w:eastAsia="en-GB"/>
              </w:rPr>
            </w:pPr>
          </w:p>
        </w:tc>
      </w:tr>
      <w:tr w:rsidR="00AF2B9A" w:rsidRPr="00AF2B9A" w:rsidTr="00E56661">
        <w:trPr>
          <w:trHeight w:val="70"/>
        </w:trPr>
        <w:tc>
          <w:tcPr>
            <w:tcW w:w="4819" w:type="dxa"/>
            <w:tcBorders>
              <w:top w:val="nil"/>
              <w:left w:val="nil"/>
              <w:bottom w:val="nil"/>
              <w:right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4"/>
              <w:gridCol w:w="794"/>
              <w:gridCol w:w="794"/>
              <w:gridCol w:w="794"/>
            </w:tblGrid>
            <w:tr w:rsidR="00AF2B9A" w:rsidRPr="00AF2B9A" w:rsidTr="000D04EE">
              <w:trPr>
                <w:trHeight w:val="454"/>
                <w:jc w:val="center"/>
              </w:trPr>
              <w:tc>
                <w:tcPr>
                  <w:tcW w:w="794" w:type="dxa"/>
                  <w:tcBorders>
                    <w:bottom w:val="single" w:sz="4" w:space="0" w:color="auto"/>
                  </w:tcBorders>
                  <w:shd w:val="clear" w:color="auto" w:fill="FFCC00"/>
                  <w:vAlign w:val="center"/>
                </w:tcPr>
                <w:p w:rsidR="00AF2B9A" w:rsidRPr="00664045" w:rsidRDefault="00AF2B9A" w:rsidP="00704F67">
                  <w:pPr>
                    <w:jc w:val="center"/>
                    <w:rPr>
                      <w:rFonts w:cs="Arial"/>
                      <w:color w:val="auto"/>
                      <w:sz w:val="8"/>
                    </w:rPr>
                  </w:pPr>
                </w:p>
                <w:p w:rsidR="00AF2B9A" w:rsidRPr="00664045" w:rsidRDefault="00AF2B9A" w:rsidP="00704F67">
                  <w:pPr>
                    <w:jc w:val="center"/>
                    <w:rPr>
                      <w:rFonts w:cs="Arial"/>
                      <w:b/>
                      <w:bCs/>
                      <w:color w:val="auto"/>
                    </w:rPr>
                  </w:pPr>
                </w:p>
              </w:tc>
              <w:tc>
                <w:tcPr>
                  <w:tcW w:w="794" w:type="dxa"/>
                  <w:tcBorders>
                    <w:bottom w:val="single" w:sz="4" w:space="0" w:color="auto"/>
                  </w:tcBorders>
                  <w:shd w:val="clear" w:color="auto" w:fill="FF0000"/>
                  <w:vAlign w:val="center"/>
                </w:tcPr>
                <w:p w:rsidR="00AF2B9A" w:rsidRPr="00664045" w:rsidRDefault="00AF2B9A" w:rsidP="00704F67">
                  <w:pPr>
                    <w:jc w:val="center"/>
                    <w:rPr>
                      <w:rFonts w:cs="Arial"/>
                      <w:color w:val="auto"/>
                    </w:rPr>
                  </w:pPr>
                </w:p>
              </w:tc>
              <w:tc>
                <w:tcPr>
                  <w:tcW w:w="794" w:type="dxa"/>
                  <w:tcBorders>
                    <w:bottom w:val="single" w:sz="4" w:space="0" w:color="auto"/>
                  </w:tcBorders>
                  <w:shd w:val="clear" w:color="auto" w:fill="FF0000"/>
                  <w:vAlign w:val="center"/>
                </w:tcPr>
                <w:p w:rsidR="00AF2B9A" w:rsidRPr="00664045" w:rsidRDefault="00AF2B9A" w:rsidP="00704F67">
                  <w:pPr>
                    <w:jc w:val="center"/>
                    <w:rPr>
                      <w:rFonts w:cs="Arial"/>
                      <w:b/>
                      <w:bCs/>
                      <w:color w:val="auto"/>
                    </w:rPr>
                  </w:pPr>
                </w:p>
              </w:tc>
              <w:tc>
                <w:tcPr>
                  <w:tcW w:w="794" w:type="dxa"/>
                  <w:tcBorders>
                    <w:bottom w:val="single" w:sz="4" w:space="0" w:color="auto"/>
                  </w:tcBorders>
                  <w:shd w:val="clear" w:color="auto" w:fill="FF0000"/>
                </w:tcPr>
                <w:p w:rsidR="00AF2B9A" w:rsidRPr="00664045" w:rsidRDefault="00AF2B9A" w:rsidP="00704F67">
                  <w:pPr>
                    <w:jc w:val="center"/>
                    <w:rPr>
                      <w:rFonts w:cs="Arial"/>
                      <w:b/>
                      <w:bCs/>
                      <w:color w:val="auto"/>
                      <w:sz w:val="18"/>
                    </w:rPr>
                  </w:pPr>
                </w:p>
              </w:tc>
              <w:tc>
                <w:tcPr>
                  <w:tcW w:w="794" w:type="dxa"/>
                  <w:tcBorders>
                    <w:bottom w:val="single" w:sz="4" w:space="0" w:color="auto"/>
                  </w:tcBorders>
                  <w:shd w:val="clear" w:color="auto" w:fill="FF0000"/>
                </w:tcPr>
                <w:p w:rsidR="00AF2B9A" w:rsidRPr="00664045" w:rsidRDefault="00AF2B9A" w:rsidP="00704F67">
                  <w:pPr>
                    <w:jc w:val="center"/>
                    <w:rPr>
                      <w:rFonts w:cs="Arial"/>
                      <w:b/>
                      <w:bCs/>
                      <w:color w:val="auto"/>
                      <w:sz w:val="18"/>
                    </w:rPr>
                  </w:pPr>
                </w:p>
              </w:tc>
            </w:tr>
            <w:tr w:rsidR="00AF2B9A" w:rsidRPr="00AF2B9A" w:rsidTr="00D03760">
              <w:trPr>
                <w:trHeight w:val="454"/>
                <w:jc w:val="center"/>
              </w:trPr>
              <w:tc>
                <w:tcPr>
                  <w:tcW w:w="794" w:type="dxa"/>
                  <w:tcBorders>
                    <w:bottom w:val="single" w:sz="4" w:space="0" w:color="auto"/>
                  </w:tcBorders>
                  <w:shd w:val="clear" w:color="auto" w:fill="FFFF00"/>
                  <w:vAlign w:val="center"/>
                </w:tcPr>
                <w:p w:rsidR="00AF2B9A" w:rsidRPr="00664045" w:rsidRDefault="00AF2B9A" w:rsidP="00704F67">
                  <w:pPr>
                    <w:shd w:val="clear" w:color="auto" w:fill="FFFF00"/>
                    <w:jc w:val="center"/>
                    <w:rPr>
                      <w:rFonts w:cs="Arial"/>
                      <w:color w:val="auto"/>
                    </w:rPr>
                  </w:pPr>
                  <w:r w:rsidRPr="00664045">
                    <w:rPr>
                      <w:rFonts w:cs="Arial"/>
                      <w:b/>
                      <w:bCs/>
                      <w:noProof/>
                      <w:color w:val="auto"/>
                      <w:sz w:val="16"/>
                      <w:lang w:eastAsia="en-GB"/>
                    </w:rPr>
                    <mc:AlternateContent>
                      <mc:Choice Requires="wps">
                        <w:drawing>
                          <wp:anchor distT="0" distB="0" distL="114300" distR="114300" simplePos="0" relativeHeight="251666432" behindDoc="0" locked="0" layoutInCell="1" allowOverlap="1" wp14:anchorId="2020BA21" wp14:editId="22913C90">
                            <wp:simplePos x="0" y="0"/>
                            <wp:positionH relativeFrom="column">
                              <wp:posOffset>-251460</wp:posOffset>
                            </wp:positionH>
                            <wp:positionV relativeFrom="paragraph">
                              <wp:posOffset>26035</wp:posOffset>
                            </wp:positionV>
                            <wp:extent cx="0" cy="571500"/>
                            <wp:effectExtent l="76200" t="38100" r="571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05pt" to="-19.8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" strokeweight="1.5pt">
                            <v:stroke endarrow="block"/>
                          </v:line>
                        </w:pict>
                      </mc:Fallback>
                    </mc:AlternateContent>
                  </w:r>
                  <w:r w:rsidRPr="00664045">
                    <w:rPr>
                      <w:rFonts w:cs="Arial"/>
                      <w:b/>
                      <w:bCs/>
                      <w:noProof/>
                      <w:color w:val="auto"/>
                      <w:sz w:val="16"/>
                      <w:lang w:eastAsia="en-GB"/>
                    </w:rPr>
                    <mc:AlternateContent>
                      <mc:Choice Requires="wps">
                        <w:drawing>
                          <wp:anchor distT="0" distB="0" distL="114300" distR="114300" simplePos="0" relativeHeight="251667456" behindDoc="0" locked="0" layoutInCell="1" allowOverlap="1" wp14:anchorId="38CD191C" wp14:editId="2F4914E0">
                            <wp:simplePos x="0" y="0"/>
                            <wp:positionH relativeFrom="column">
                              <wp:posOffset>-321945</wp:posOffset>
                            </wp:positionH>
                            <wp:positionV relativeFrom="paragraph">
                              <wp:posOffset>36830</wp:posOffset>
                            </wp:positionV>
                            <wp:extent cx="342900" cy="72326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B9A" w:rsidRPr="00AF2B9A" w:rsidRDefault="00AF2B9A" w:rsidP="00AF2B9A">
                                        <w:pPr>
                                          <w:rPr>
                                            <w:rFonts w:cs="Arial"/>
                                            <w:b/>
                                            <w:color w:val="auto"/>
                                            <w:sz w:val="20"/>
                                          </w:rPr>
                                        </w:pPr>
                                        <w:r w:rsidRPr="00AF2B9A">
                                          <w:rPr>
                                            <w:rFonts w:cs="Arial"/>
                                            <w:b/>
                                            <w:bCs/>
                                            <w:color w:val="auto"/>
                                            <w:sz w:val="20"/>
                                          </w:rPr>
                                          <w:t>Impac</w:t>
                                        </w:r>
                                        <w:r w:rsidRPr="00AF2B9A">
                                          <w:rPr>
                                            <w:rFonts w:cs="Arial"/>
                                            <w:b/>
                                            <w:color w:val="auto"/>
                                            <w:sz w:val="20"/>
                                          </w:rPr>
                                          <w:t>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35pt;margin-top:2.9pt;width:27pt;height:5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" filled="f" stroked="f">
                            <v:textbox style="layout-flow:vertical">
                              <w:txbxContent>
                                <w:p w:rsidR="00AF2B9A" w:rsidRPr="00AF2B9A" w:rsidRDefault="00AF2B9A" w:rsidP="00AF2B9A">
                                  <w:pPr>
                                    <w:rPr>
                                      <w:rFonts w:cs="Arial"/>
                                      <w:b/>
                                      <w:color w:val="auto"/>
                                      <w:sz w:val="20"/>
                                    </w:rPr>
                                  </w:pPr>
                                  <w:r w:rsidRPr="00AF2B9A">
                                    <w:rPr>
                                      <w:rFonts w:cs="Arial"/>
                                      <w:b/>
                                      <w:bCs/>
                                      <w:color w:val="auto"/>
                                      <w:sz w:val="20"/>
                                    </w:rPr>
                                    <w:t>Impac</w:t>
                                  </w:r>
                                  <w:r w:rsidRPr="00AF2B9A">
                                    <w:rPr>
                                      <w:rFonts w:cs="Arial"/>
                                      <w:b/>
                                      <w:color w:val="auto"/>
                                      <w:sz w:val="20"/>
                                    </w:rPr>
                                    <w:t>t</w:t>
                                  </w:r>
                                </w:p>
                              </w:txbxContent>
                            </v:textbox>
                          </v:shape>
                        </w:pict>
                      </mc:Fallback>
                    </mc:AlternateContent>
                  </w:r>
                </w:p>
              </w:tc>
              <w:tc>
                <w:tcPr>
                  <w:tcW w:w="794" w:type="dxa"/>
                  <w:tcBorders>
                    <w:bottom w:val="single" w:sz="4" w:space="0" w:color="auto"/>
                    <w:right w:val="single" w:sz="4" w:space="0" w:color="auto"/>
                  </w:tcBorders>
                  <w:shd w:val="clear" w:color="auto" w:fill="FFCC00"/>
                  <w:vAlign w:val="center"/>
                </w:tcPr>
                <w:p w:rsidR="00AF2B9A" w:rsidRPr="00664045" w:rsidRDefault="00AF2B9A" w:rsidP="00704F67">
                  <w:pPr>
                    <w:jc w:val="center"/>
                    <w:rPr>
                      <w:rFonts w:cs="Arial"/>
                      <w:b/>
                      <w:bCs/>
                      <w:color w:val="auto"/>
                    </w:rPr>
                  </w:pPr>
                </w:p>
              </w:tc>
              <w:tc>
                <w:tcPr>
                  <w:tcW w:w="794" w:type="dxa"/>
                  <w:tcBorders>
                    <w:left w:val="single" w:sz="4" w:space="0" w:color="auto"/>
                    <w:bottom w:val="single" w:sz="4" w:space="0" w:color="auto"/>
                  </w:tcBorders>
                  <w:shd w:val="clear" w:color="auto" w:fill="FFCC00"/>
                  <w:vAlign w:val="center"/>
                </w:tcPr>
                <w:p w:rsidR="00AF2B9A" w:rsidRPr="00664045" w:rsidRDefault="00AF2B9A" w:rsidP="00704F67">
                  <w:pPr>
                    <w:jc w:val="center"/>
                    <w:rPr>
                      <w:rFonts w:cs="Arial"/>
                      <w:color w:val="auto"/>
                    </w:rPr>
                  </w:pPr>
                </w:p>
              </w:tc>
              <w:tc>
                <w:tcPr>
                  <w:tcW w:w="794" w:type="dxa"/>
                  <w:tcBorders>
                    <w:left w:val="single" w:sz="4" w:space="0" w:color="auto"/>
                    <w:bottom w:val="single" w:sz="4" w:space="0" w:color="auto"/>
                    <w:right w:val="single" w:sz="4" w:space="0" w:color="auto"/>
                  </w:tcBorders>
                  <w:shd w:val="clear" w:color="auto" w:fill="FFCC00"/>
                  <w:vAlign w:val="center"/>
                </w:tcPr>
                <w:p w:rsidR="00AF2B9A" w:rsidRPr="00D03760" w:rsidRDefault="00AF2B9A" w:rsidP="00D03760">
                  <w:pPr>
                    <w:jc w:val="center"/>
                    <w:rPr>
                      <w:rFonts w:cs="Arial"/>
                      <w:b/>
                      <w:color w:val="auto"/>
                    </w:rPr>
                  </w:pPr>
                </w:p>
              </w:tc>
              <w:tc>
                <w:tcPr>
                  <w:tcW w:w="794" w:type="dxa"/>
                  <w:tcBorders>
                    <w:left w:val="single" w:sz="4" w:space="0" w:color="auto"/>
                    <w:bottom w:val="single" w:sz="4" w:space="0" w:color="auto"/>
                  </w:tcBorders>
                  <w:shd w:val="clear" w:color="auto" w:fill="FF0000"/>
                </w:tcPr>
                <w:p w:rsidR="00AF2B9A" w:rsidRPr="00664045" w:rsidRDefault="00AF2B9A" w:rsidP="00704F67">
                  <w:pPr>
                    <w:jc w:val="center"/>
                    <w:rPr>
                      <w:rFonts w:cs="Arial"/>
                      <w:color w:val="auto"/>
                    </w:rPr>
                  </w:pPr>
                  <w:r w:rsidRPr="00664045">
                    <w:rPr>
                      <w:rFonts w:ascii="Arial Bold" w:hAnsi="Arial Bold"/>
                      <w:b/>
                      <w:bCs/>
                      <w:noProof/>
                      <w:color w:val="auto"/>
                      <w:lang w:eastAsia="en-GB"/>
                    </w:rPr>
                    <mc:AlternateContent>
                      <mc:Choice Requires="wps">
                        <w:drawing>
                          <wp:anchor distT="0" distB="0" distL="114300" distR="114300" simplePos="0" relativeHeight="251669504" behindDoc="0" locked="0" layoutInCell="1" allowOverlap="1" wp14:anchorId="21B296B7" wp14:editId="5B4CACF1">
                            <wp:simplePos x="0" y="0"/>
                            <wp:positionH relativeFrom="column">
                              <wp:posOffset>549910</wp:posOffset>
                            </wp:positionH>
                            <wp:positionV relativeFrom="paragraph">
                              <wp:posOffset>43180</wp:posOffset>
                            </wp:positionV>
                            <wp:extent cx="333375" cy="72326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72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B9A" w:rsidRPr="00AF2B9A" w:rsidRDefault="00AF2B9A" w:rsidP="00AF2B9A">
                                        <w:pPr>
                                          <w:rPr>
                                            <w:rFonts w:cs="Arial"/>
                                            <w:b/>
                                            <w:color w:val="auto"/>
                                            <w:sz w:val="20"/>
                                          </w:rPr>
                                        </w:pPr>
                                        <w:r w:rsidRPr="00AF2B9A">
                                          <w:rPr>
                                            <w:rFonts w:cs="Arial"/>
                                            <w:b/>
                                            <w:bCs/>
                                            <w:color w:val="auto"/>
                                            <w:sz w:val="20"/>
                                          </w:rPr>
                                          <w:t>Impac</w:t>
                                        </w:r>
                                        <w:r w:rsidRPr="00AF2B9A">
                                          <w:rPr>
                                            <w:rFonts w:cs="Arial"/>
                                            <w:b/>
                                            <w:color w:val="auto"/>
                                            <w:sz w:val="20"/>
                                          </w:rPr>
                                          <w:t>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3.3pt;margin-top:3.4pt;width:26.25pt;height:5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9ztQIAAME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" filled="f" stroked="f">
                            <v:textbox style="layout-flow:vertical">
                              <w:txbxContent>
                                <w:p w:rsidR="00AF2B9A" w:rsidRPr="00AF2B9A" w:rsidRDefault="00AF2B9A" w:rsidP="00AF2B9A">
                                  <w:pPr>
                                    <w:rPr>
                                      <w:rFonts w:cs="Arial"/>
                                      <w:b/>
                                      <w:color w:val="auto"/>
                                      <w:sz w:val="20"/>
                                    </w:rPr>
                                  </w:pPr>
                                  <w:r w:rsidRPr="00AF2B9A">
                                    <w:rPr>
                                      <w:rFonts w:cs="Arial"/>
                                      <w:b/>
                                      <w:bCs/>
                                      <w:color w:val="auto"/>
                                      <w:sz w:val="20"/>
                                    </w:rPr>
                                    <w:t>Impac</w:t>
                                  </w:r>
                                  <w:r w:rsidRPr="00AF2B9A">
                                    <w:rPr>
                                      <w:rFonts w:cs="Arial"/>
                                      <w:b/>
                                      <w:color w:val="auto"/>
                                      <w:sz w:val="20"/>
                                    </w:rPr>
                                    <w:t>t</w:t>
                                  </w:r>
                                </w:p>
                              </w:txbxContent>
                            </v:textbox>
                          </v:shape>
                        </w:pict>
                      </mc:Fallback>
                    </mc:AlternateContent>
                  </w:r>
                  <w:r w:rsidRPr="00664045">
                    <w:rPr>
                      <w:rFonts w:ascii="Arial Bold" w:hAnsi="Arial Bold"/>
                      <w:b/>
                      <w:bCs/>
                      <w:noProof/>
                      <w:color w:val="auto"/>
                      <w:lang w:eastAsia="en-GB"/>
                    </w:rPr>
                    <mc:AlternateContent>
                      <mc:Choice Requires="wps">
                        <w:drawing>
                          <wp:anchor distT="0" distB="0" distL="114300" distR="114300" simplePos="0" relativeHeight="251668480" behindDoc="0" locked="0" layoutInCell="1" allowOverlap="1" wp14:anchorId="279377D0" wp14:editId="5F682D5E">
                            <wp:simplePos x="0" y="0"/>
                            <wp:positionH relativeFrom="column">
                              <wp:posOffset>637540</wp:posOffset>
                            </wp:positionH>
                            <wp:positionV relativeFrom="paragraph">
                              <wp:posOffset>26670</wp:posOffset>
                            </wp:positionV>
                            <wp:extent cx="0" cy="571500"/>
                            <wp:effectExtent l="76200" t="38100" r="571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1pt" to="50.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" strokeweight="1.5pt">
                            <v:stroke endarrow="block"/>
                          </v:line>
                        </w:pict>
                      </mc:Fallback>
                    </mc:AlternateContent>
                  </w:r>
                </w:p>
              </w:tc>
            </w:tr>
            <w:tr w:rsidR="00AF2B9A" w:rsidRPr="00AF2B9A" w:rsidTr="00D03760">
              <w:trPr>
                <w:trHeight w:val="454"/>
                <w:jc w:val="center"/>
              </w:trPr>
              <w:tc>
                <w:tcPr>
                  <w:tcW w:w="794" w:type="dxa"/>
                  <w:tcBorders>
                    <w:bottom w:val="single" w:sz="4" w:space="0" w:color="auto"/>
                  </w:tcBorders>
                  <w:shd w:val="clear" w:color="auto" w:fill="99CC00"/>
                  <w:vAlign w:val="center"/>
                </w:tcPr>
                <w:p w:rsidR="00AF2B9A" w:rsidRPr="00C04F7B" w:rsidRDefault="00AF2B9A" w:rsidP="00704F67">
                  <w:pPr>
                    <w:jc w:val="center"/>
                    <w:rPr>
                      <w:rFonts w:cs="Arial"/>
                      <w:b/>
                      <w:bCs/>
                      <w:color w:val="auto"/>
                    </w:rPr>
                  </w:pPr>
                </w:p>
              </w:tc>
              <w:tc>
                <w:tcPr>
                  <w:tcW w:w="794" w:type="dxa"/>
                  <w:shd w:val="clear" w:color="auto" w:fill="FFFF00"/>
                  <w:vAlign w:val="center"/>
                </w:tcPr>
                <w:p w:rsidR="00AF2B9A" w:rsidRPr="00C04F7B" w:rsidRDefault="00AF2B9A" w:rsidP="00D03760">
                  <w:pPr>
                    <w:rPr>
                      <w:rFonts w:cs="Arial"/>
                      <w:b/>
                      <w:bCs/>
                      <w:color w:val="auto"/>
                    </w:rPr>
                  </w:pPr>
                </w:p>
              </w:tc>
              <w:tc>
                <w:tcPr>
                  <w:tcW w:w="794" w:type="dxa"/>
                  <w:shd w:val="clear" w:color="auto" w:fill="FFFF00"/>
                  <w:vAlign w:val="center"/>
                </w:tcPr>
                <w:p w:rsidR="00AF2B9A" w:rsidRPr="00C04F7B" w:rsidRDefault="00AF2B9A" w:rsidP="00704F67">
                  <w:pPr>
                    <w:jc w:val="center"/>
                    <w:rPr>
                      <w:rFonts w:cs="Arial"/>
                      <w:b/>
                      <w:color w:val="auto"/>
                    </w:rPr>
                  </w:pPr>
                </w:p>
              </w:tc>
              <w:tc>
                <w:tcPr>
                  <w:tcW w:w="794" w:type="dxa"/>
                  <w:shd w:val="clear" w:color="auto" w:fill="FFFF00"/>
                  <w:vAlign w:val="center"/>
                </w:tcPr>
                <w:p w:rsidR="00AF2B9A" w:rsidRPr="00D03760" w:rsidRDefault="00D03760" w:rsidP="00D03760">
                  <w:pPr>
                    <w:jc w:val="center"/>
                    <w:rPr>
                      <w:rFonts w:cs="Arial"/>
                      <w:b/>
                      <w:color w:val="auto"/>
                    </w:rPr>
                  </w:pPr>
                  <w:r w:rsidRPr="00D03760">
                    <w:rPr>
                      <w:rFonts w:cs="Arial"/>
                      <w:b/>
                      <w:color w:val="auto"/>
                    </w:rPr>
                    <w:t>R</w:t>
                  </w:r>
                  <w:r>
                    <w:rPr>
                      <w:rFonts w:cs="Arial"/>
                      <w:b/>
                      <w:color w:val="auto"/>
                    </w:rPr>
                    <w:t>, CP</w:t>
                  </w:r>
                </w:p>
              </w:tc>
              <w:tc>
                <w:tcPr>
                  <w:tcW w:w="794" w:type="dxa"/>
                  <w:tcBorders>
                    <w:bottom w:val="single" w:sz="4" w:space="0" w:color="auto"/>
                  </w:tcBorders>
                  <w:shd w:val="clear" w:color="auto" w:fill="FFCC00"/>
                </w:tcPr>
                <w:p w:rsidR="00AF2B9A" w:rsidRPr="00664045" w:rsidRDefault="00AF2B9A" w:rsidP="00704F67">
                  <w:pPr>
                    <w:jc w:val="center"/>
                    <w:rPr>
                      <w:rFonts w:cs="Arial"/>
                      <w:color w:val="auto"/>
                    </w:rPr>
                  </w:pPr>
                </w:p>
              </w:tc>
            </w:tr>
            <w:tr w:rsidR="00AF2B9A" w:rsidRPr="00AF2B9A" w:rsidTr="000D04EE">
              <w:trPr>
                <w:trHeight w:val="454"/>
                <w:jc w:val="center"/>
              </w:trPr>
              <w:tc>
                <w:tcPr>
                  <w:tcW w:w="794" w:type="dxa"/>
                  <w:shd w:val="clear" w:color="auto" w:fill="3366FF"/>
                  <w:vAlign w:val="center"/>
                </w:tcPr>
                <w:p w:rsidR="00AF2B9A" w:rsidRPr="00C04F7B" w:rsidRDefault="00AF2B9A" w:rsidP="00704F67">
                  <w:pPr>
                    <w:jc w:val="center"/>
                    <w:rPr>
                      <w:rFonts w:cs="Arial"/>
                      <w:b/>
                      <w:bCs/>
                      <w:color w:val="auto"/>
                      <w:sz w:val="20"/>
                    </w:rPr>
                  </w:pPr>
                </w:p>
              </w:tc>
              <w:tc>
                <w:tcPr>
                  <w:tcW w:w="794" w:type="dxa"/>
                  <w:tcBorders>
                    <w:bottom w:val="single" w:sz="4" w:space="0" w:color="auto"/>
                  </w:tcBorders>
                  <w:shd w:val="clear" w:color="auto" w:fill="99CC00"/>
                  <w:vAlign w:val="center"/>
                </w:tcPr>
                <w:p w:rsidR="00AF2B9A" w:rsidRPr="00C04F7B" w:rsidRDefault="003B29EE" w:rsidP="00704F67">
                  <w:pPr>
                    <w:jc w:val="center"/>
                    <w:rPr>
                      <w:rFonts w:cs="Arial"/>
                      <w:b/>
                      <w:bCs/>
                      <w:color w:val="auto"/>
                      <w:szCs w:val="22"/>
                    </w:rPr>
                  </w:pPr>
                  <w:r w:rsidRPr="00C04F7B">
                    <w:rPr>
                      <w:rFonts w:cs="Arial"/>
                      <w:b/>
                      <w:bCs/>
                      <w:color w:val="auto"/>
                      <w:szCs w:val="22"/>
                    </w:rPr>
                    <w:t>C</w:t>
                  </w:r>
                  <w:r w:rsidR="00D03760">
                    <w:rPr>
                      <w:rFonts w:cs="Arial"/>
                      <w:b/>
                      <w:bCs/>
                      <w:color w:val="auto"/>
                      <w:szCs w:val="22"/>
                    </w:rPr>
                    <w:t>p</w:t>
                  </w:r>
                  <w:r w:rsidRPr="00C04F7B">
                    <w:rPr>
                      <w:rFonts w:cs="Arial"/>
                      <w:b/>
                      <w:bCs/>
                      <w:color w:val="auto"/>
                      <w:szCs w:val="22"/>
                    </w:rPr>
                    <w:t>P</w:t>
                  </w:r>
                </w:p>
              </w:tc>
              <w:tc>
                <w:tcPr>
                  <w:tcW w:w="794" w:type="dxa"/>
                  <w:tcBorders>
                    <w:bottom w:val="single" w:sz="4" w:space="0" w:color="auto"/>
                  </w:tcBorders>
                  <w:shd w:val="clear" w:color="auto" w:fill="99CC00"/>
                  <w:vAlign w:val="center"/>
                </w:tcPr>
                <w:p w:rsidR="00AF2B9A" w:rsidRPr="00C04F7B" w:rsidRDefault="00AF2B9A" w:rsidP="00704F67">
                  <w:pPr>
                    <w:jc w:val="center"/>
                    <w:rPr>
                      <w:rFonts w:cs="Arial"/>
                      <w:b/>
                      <w:color w:val="auto"/>
                    </w:rPr>
                  </w:pPr>
                </w:p>
              </w:tc>
              <w:tc>
                <w:tcPr>
                  <w:tcW w:w="794" w:type="dxa"/>
                  <w:tcBorders>
                    <w:bottom w:val="single" w:sz="4" w:space="0" w:color="auto"/>
                  </w:tcBorders>
                  <w:shd w:val="clear" w:color="auto" w:fill="99CC00"/>
                </w:tcPr>
                <w:p w:rsidR="00AF2B9A" w:rsidRPr="00664045" w:rsidRDefault="00AF2B9A" w:rsidP="00704F67">
                  <w:pPr>
                    <w:jc w:val="center"/>
                    <w:rPr>
                      <w:rFonts w:cs="Arial"/>
                      <w:b/>
                      <w:color w:val="auto"/>
                    </w:rPr>
                  </w:pPr>
                </w:p>
              </w:tc>
              <w:tc>
                <w:tcPr>
                  <w:tcW w:w="794" w:type="dxa"/>
                  <w:shd w:val="clear" w:color="auto" w:fill="FFFF00"/>
                </w:tcPr>
                <w:p w:rsidR="00AF2B9A" w:rsidRPr="00664045" w:rsidRDefault="00AF2B9A" w:rsidP="00704F67">
                  <w:pPr>
                    <w:spacing w:before="120"/>
                    <w:jc w:val="center"/>
                    <w:rPr>
                      <w:rFonts w:cs="Arial"/>
                      <w:b/>
                      <w:color w:val="auto"/>
                    </w:rPr>
                  </w:pPr>
                </w:p>
              </w:tc>
            </w:tr>
            <w:tr w:rsidR="00AF2B9A" w:rsidRPr="00AF2B9A" w:rsidTr="000D04EE">
              <w:trPr>
                <w:trHeight w:val="454"/>
                <w:jc w:val="center"/>
              </w:trPr>
              <w:tc>
                <w:tcPr>
                  <w:tcW w:w="794" w:type="dxa"/>
                  <w:shd w:val="clear" w:color="auto" w:fill="3366FF"/>
                  <w:vAlign w:val="center"/>
                </w:tcPr>
                <w:p w:rsidR="00AF2B9A" w:rsidRPr="00C04F7B" w:rsidRDefault="00AF2B9A" w:rsidP="00704F67">
                  <w:pPr>
                    <w:jc w:val="center"/>
                    <w:rPr>
                      <w:rFonts w:cs="Arial"/>
                      <w:b/>
                      <w:bCs/>
                      <w:color w:val="auto"/>
                      <w:sz w:val="36"/>
                    </w:rPr>
                  </w:pPr>
                </w:p>
              </w:tc>
              <w:tc>
                <w:tcPr>
                  <w:tcW w:w="794" w:type="dxa"/>
                  <w:shd w:val="clear" w:color="auto" w:fill="3366FF"/>
                  <w:vAlign w:val="center"/>
                </w:tcPr>
                <w:p w:rsidR="00AF2B9A" w:rsidRPr="00C04F7B" w:rsidRDefault="00C04F7B" w:rsidP="00704F67">
                  <w:pPr>
                    <w:jc w:val="center"/>
                    <w:rPr>
                      <w:rFonts w:cs="Arial"/>
                      <w:b/>
                      <w:bCs/>
                      <w:color w:val="auto"/>
                      <w:szCs w:val="22"/>
                    </w:rPr>
                  </w:pPr>
                  <w:r w:rsidRPr="00C04F7B">
                    <w:rPr>
                      <w:rFonts w:cs="Arial"/>
                      <w:b/>
                      <w:bCs/>
                      <w:color w:val="auto"/>
                      <w:szCs w:val="22"/>
                    </w:rPr>
                    <w:t>CY, F</w:t>
                  </w:r>
                </w:p>
              </w:tc>
              <w:tc>
                <w:tcPr>
                  <w:tcW w:w="794" w:type="dxa"/>
                  <w:shd w:val="clear" w:color="auto" w:fill="3366FF"/>
                  <w:vAlign w:val="center"/>
                </w:tcPr>
                <w:p w:rsidR="00AF2B9A" w:rsidRPr="00C04F7B" w:rsidRDefault="00AF2B9A" w:rsidP="00704F67">
                  <w:pPr>
                    <w:jc w:val="center"/>
                    <w:rPr>
                      <w:rFonts w:cs="Arial"/>
                      <w:b/>
                      <w:color w:val="auto"/>
                    </w:rPr>
                  </w:pPr>
                </w:p>
              </w:tc>
              <w:tc>
                <w:tcPr>
                  <w:tcW w:w="794" w:type="dxa"/>
                  <w:shd w:val="clear" w:color="auto" w:fill="3366FF"/>
                </w:tcPr>
                <w:p w:rsidR="00AF2B9A" w:rsidRPr="00AF2B9A" w:rsidRDefault="00AF2B9A" w:rsidP="00704F67">
                  <w:pPr>
                    <w:jc w:val="center"/>
                    <w:rPr>
                      <w:rFonts w:cs="Arial"/>
                      <w:color w:val="auto"/>
                    </w:rPr>
                  </w:pPr>
                </w:p>
              </w:tc>
              <w:tc>
                <w:tcPr>
                  <w:tcW w:w="794" w:type="dxa"/>
                  <w:shd w:val="clear" w:color="auto" w:fill="99CC00"/>
                </w:tcPr>
                <w:p w:rsidR="00AF2B9A" w:rsidRPr="00AF2B9A" w:rsidRDefault="00AF2B9A" w:rsidP="00704F67">
                  <w:pPr>
                    <w:jc w:val="center"/>
                    <w:rPr>
                      <w:rFonts w:cs="Arial"/>
                      <w:color w:val="auto"/>
                    </w:rPr>
                  </w:pPr>
                </w:p>
              </w:tc>
            </w:tr>
          </w:tbl>
          <w:p w:rsidR="00AF2B9A" w:rsidRPr="00AF2B9A" w:rsidRDefault="00AF2B9A" w:rsidP="00704F67">
            <w:pPr>
              <w:ind w:left="1440" w:firstLine="261"/>
              <w:rPr>
                <w:rFonts w:ascii="Arial Bold" w:hAnsi="Arial Bold"/>
                <w:color w:val="auto"/>
                <w:sz w:val="20"/>
                <w:lang w:val="en-US" w:eastAsia="en-GB"/>
              </w:rPr>
            </w:pPr>
            <w:r w:rsidRPr="00AF2B9A">
              <w:rPr>
                <w:rFonts w:ascii="Arial Bold" w:hAnsi="Arial Bold"/>
                <w:color w:val="auto"/>
                <w:sz w:val="20"/>
                <w:lang w:eastAsia="en-GB"/>
              </w:rPr>
              <w:t>Likelihood</w:t>
            </w:r>
          </w:p>
          <w:p w:rsidR="00AF2B9A" w:rsidRPr="00AF2B9A" w:rsidRDefault="00AF2B9A" w:rsidP="00704F67">
            <w:pPr>
              <w:ind w:firstLine="1701"/>
              <w:rPr>
                <w:rFonts w:ascii="Times New Roman" w:hAnsi="Times New Roman" w:cs="Arial"/>
                <w:color w:val="auto"/>
                <w:sz w:val="20"/>
                <w:lang w:eastAsia="en-GB"/>
              </w:rPr>
            </w:pPr>
            <w:r w:rsidRPr="00AF2B9A">
              <w:rPr>
                <w:rFonts w:ascii="Times New Roman" w:hAnsi="Times New Roman" w:cs="Arial"/>
                <w:noProof/>
                <w:color w:val="auto"/>
                <w:sz w:val="20"/>
                <w:lang w:eastAsia="en-GB"/>
              </w:rPr>
              <w:drawing>
                <wp:inline distT="0" distB="0" distL="0" distR="0" wp14:anchorId="3AA161F0" wp14:editId="5C371884">
                  <wp:extent cx="926465" cy="16446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164465"/>
                          </a:xfrm>
                          <a:prstGeom prst="rect">
                            <a:avLst/>
                          </a:prstGeom>
                          <a:noFill/>
                        </pic:spPr>
                      </pic:pic>
                    </a:graphicData>
                  </a:graphic>
                </wp:inline>
              </w:drawing>
            </w:r>
          </w:p>
          <w:p w:rsidR="00AF2B9A" w:rsidRPr="00AF2B9A" w:rsidRDefault="00AF2B9A" w:rsidP="00704F67">
            <w:pPr>
              <w:rPr>
                <w:rFonts w:ascii="Times New Roman" w:hAnsi="Times New Roman"/>
                <w:bCs/>
                <w:color w:val="auto"/>
                <w:sz w:val="20"/>
                <w:lang w:val="en-US" w:eastAsia="en-GB"/>
              </w:rPr>
            </w:pPr>
          </w:p>
        </w:tc>
        <w:tc>
          <w:tcPr>
            <w:tcW w:w="4643" w:type="dxa"/>
            <w:tcBorders>
              <w:top w:val="nil"/>
              <w:left w:val="nil"/>
              <w:bottom w:val="nil"/>
              <w:right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94"/>
              <w:gridCol w:w="794"/>
              <w:gridCol w:w="794"/>
              <w:gridCol w:w="794"/>
            </w:tblGrid>
            <w:tr w:rsidR="00AF2B9A" w:rsidRPr="00AF2B9A" w:rsidTr="000D04EE">
              <w:trPr>
                <w:trHeight w:val="454"/>
                <w:jc w:val="center"/>
              </w:trPr>
              <w:tc>
                <w:tcPr>
                  <w:tcW w:w="794" w:type="dxa"/>
                  <w:tcBorders>
                    <w:bottom w:val="single" w:sz="4" w:space="0" w:color="auto"/>
                  </w:tcBorders>
                  <w:shd w:val="clear" w:color="auto" w:fill="FFCC00"/>
                  <w:vAlign w:val="center"/>
                </w:tcPr>
                <w:p w:rsidR="00AF2B9A" w:rsidRPr="00AF2B9A" w:rsidRDefault="00AF2B9A" w:rsidP="00704F67">
                  <w:pPr>
                    <w:rPr>
                      <w:b/>
                      <w:bCs/>
                      <w:color w:val="auto"/>
                    </w:rPr>
                  </w:pPr>
                </w:p>
                <w:p w:rsidR="00AF2B9A" w:rsidRPr="00AF2B9A" w:rsidRDefault="00AF2B9A" w:rsidP="00704F67">
                  <w:pPr>
                    <w:rPr>
                      <w:b/>
                      <w:bCs/>
                      <w:color w:val="auto"/>
                    </w:rPr>
                  </w:pPr>
                </w:p>
              </w:tc>
              <w:tc>
                <w:tcPr>
                  <w:tcW w:w="794" w:type="dxa"/>
                  <w:tcBorders>
                    <w:bottom w:val="single" w:sz="4" w:space="0" w:color="auto"/>
                  </w:tcBorders>
                  <w:shd w:val="clear" w:color="auto" w:fill="FF0000"/>
                  <w:vAlign w:val="center"/>
                </w:tcPr>
                <w:p w:rsidR="00AF2B9A" w:rsidRPr="00664045" w:rsidRDefault="00AF2B9A" w:rsidP="00704F67">
                  <w:pPr>
                    <w:rPr>
                      <w:b/>
                      <w:bCs/>
                      <w:color w:val="auto"/>
                    </w:rPr>
                  </w:pPr>
                </w:p>
              </w:tc>
              <w:tc>
                <w:tcPr>
                  <w:tcW w:w="794" w:type="dxa"/>
                  <w:tcBorders>
                    <w:bottom w:val="single" w:sz="4" w:space="0" w:color="auto"/>
                  </w:tcBorders>
                  <w:shd w:val="clear" w:color="auto" w:fill="FF0000"/>
                  <w:vAlign w:val="center"/>
                </w:tcPr>
                <w:p w:rsidR="00AF2B9A" w:rsidRPr="00664045" w:rsidRDefault="00AF2B9A" w:rsidP="00704F67">
                  <w:pPr>
                    <w:rPr>
                      <w:b/>
                      <w:bCs/>
                      <w:color w:val="auto"/>
                    </w:rPr>
                  </w:pPr>
                </w:p>
              </w:tc>
              <w:tc>
                <w:tcPr>
                  <w:tcW w:w="794" w:type="dxa"/>
                  <w:tcBorders>
                    <w:bottom w:val="single" w:sz="4" w:space="0" w:color="auto"/>
                  </w:tcBorders>
                  <w:shd w:val="clear" w:color="auto" w:fill="FF0000"/>
                </w:tcPr>
                <w:p w:rsidR="00AF2B9A" w:rsidRPr="00664045" w:rsidRDefault="00AF2B9A" w:rsidP="00704F67">
                  <w:pPr>
                    <w:rPr>
                      <w:b/>
                      <w:bCs/>
                      <w:color w:val="auto"/>
                    </w:rPr>
                  </w:pPr>
                </w:p>
              </w:tc>
              <w:tc>
                <w:tcPr>
                  <w:tcW w:w="794" w:type="dxa"/>
                  <w:tcBorders>
                    <w:bottom w:val="single" w:sz="4" w:space="0" w:color="auto"/>
                  </w:tcBorders>
                  <w:shd w:val="clear" w:color="auto" w:fill="FF0000"/>
                </w:tcPr>
                <w:p w:rsidR="00AF2B9A" w:rsidRPr="00664045" w:rsidRDefault="00AF2B9A" w:rsidP="00704F67">
                  <w:pPr>
                    <w:rPr>
                      <w:b/>
                      <w:bCs/>
                      <w:color w:val="auto"/>
                    </w:rPr>
                  </w:pPr>
                </w:p>
              </w:tc>
            </w:tr>
            <w:tr w:rsidR="00AF2B9A" w:rsidRPr="00AF2B9A" w:rsidTr="000D04EE">
              <w:trPr>
                <w:trHeight w:val="454"/>
                <w:jc w:val="center"/>
              </w:trPr>
              <w:tc>
                <w:tcPr>
                  <w:tcW w:w="794" w:type="dxa"/>
                  <w:tcBorders>
                    <w:bottom w:val="single" w:sz="4" w:space="0" w:color="auto"/>
                  </w:tcBorders>
                  <w:shd w:val="clear" w:color="auto" w:fill="FFFF00"/>
                  <w:vAlign w:val="center"/>
                </w:tcPr>
                <w:p w:rsidR="00AF2B9A" w:rsidRPr="00AF2B9A" w:rsidRDefault="00AF2B9A" w:rsidP="00704F67">
                  <w:pPr>
                    <w:rPr>
                      <w:b/>
                      <w:bCs/>
                      <w:color w:val="auto"/>
                    </w:rPr>
                  </w:pPr>
                </w:p>
              </w:tc>
              <w:tc>
                <w:tcPr>
                  <w:tcW w:w="794" w:type="dxa"/>
                  <w:tcBorders>
                    <w:bottom w:val="single" w:sz="4" w:space="0" w:color="auto"/>
                    <w:right w:val="single" w:sz="4" w:space="0" w:color="auto"/>
                  </w:tcBorders>
                  <w:shd w:val="clear" w:color="auto" w:fill="FFCC00"/>
                  <w:vAlign w:val="center"/>
                </w:tcPr>
                <w:p w:rsidR="00AF2B9A" w:rsidRPr="00664045" w:rsidRDefault="00AF2B9A" w:rsidP="00704F67">
                  <w:pPr>
                    <w:rPr>
                      <w:b/>
                      <w:bCs/>
                      <w:color w:val="auto"/>
                    </w:rPr>
                  </w:pPr>
                </w:p>
              </w:tc>
              <w:tc>
                <w:tcPr>
                  <w:tcW w:w="794" w:type="dxa"/>
                  <w:tcBorders>
                    <w:left w:val="single" w:sz="4" w:space="0" w:color="auto"/>
                    <w:bottom w:val="single" w:sz="4" w:space="0" w:color="auto"/>
                  </w:tcBorders>
                  <w:shd w:val="clear" w:color="auto" w:fill="FFCC00"/>
                  <w:vAlign w:val="center"/>
                </w:tcPr>
                <w:p w:rsidR="00AF2B9A" w:rsidRPr="00664045" w:rsidRDefault="00AF2B9A" w:rsidP="00704F67">
                  <w:pPr>
                    <w:rPr>
                      <w:b/>
                      <w:bCs/>
                      <w:color w:val="auto"/>
                    </w:rPr>
                  </w:pPr>
                </w:p>
              </w:tc>
              <w:tc>
                <w:tcPr>
                  <w:tcW w:w="794" w:type="dxa"/>
                  <w:tcBorders>
                    <w:left w:val="single" w:sz="4" w:space="0" w:color="auto"/>
                    <w:bottom w:val="single" w:sz="4" w:space="0" w:color="auto"/>
                    <w:right w:val="single" w:sz="4" w:space="0" w:color="auto"/>
                  </w:tcBorders>
                  <w:shd w:val="clear" w:color="auto" w:fill="FFCC00"/>
                </w:tcPr>
                <w:p w:rsidR="00AF2B9A" w:rsidRPr="00664045" w:rsidRDefault="00AF2B9A" w:rsidP="00704F67">
                  <w:pPr>
                    <w:rPr>
                      <w:b/>
                      <w:bCs/>
                      <w:color w:val="auto"/>
                    </w:rPr>
                  </w:pPr>
                </w:p>
              </w:tc>
              <w:tc>
                <w:tcPr>
                  <w:tcW w:w="794" w:type="dxa"/>
                  <w:tcBorders>
                    <w:left w:val="single" w:sz="4" w:space="0" w:color="auto"/>
                    <w:bottom w:val="single" w:sz="4" w:space="0" w:color="auto"/>
                  </w:tcBorders>
                  <w:shd w:val="clear" w:color="auto" w:fill="FF0000"/>
                </w:tcPr>
                <w:p w:rsidR="00AF2B9A" w:rsidRPr="00664045" w:rsidRDefault="00AF2B9A" w:rsidP="00704F67">
                  <w:pPr>
                    <w:rPr>
                      <w:b/>
                      <w:bCs/>
                      <w:color w:val="auto"/>
                    </w:rPr>
                  </w:pPr>
                </w:p>
              </w:tc>
            </w:tr>
            <w:tr w:rsidR="00AF2B9A" w:rsidRPr="00AF2B9A" w:rsidTr="000D04EE">
              <w:trPr>
                <w:trHeight w:val="454"/>
                <w:jc w:val="center"/>
              </w:trPr>
              <w:tc>
                <w:tcPr>
                  <w:tcW w:w="794" w:type="dxa"/>
                  <w:tcBorders>
                    <w:bottom w:val="single" w:sz="4" w:space="0" w:color="auto"/>
                  </w:tcBorders>
                  <w:shd w:val="clear" w:color="auto" w:fill="99CC00"/>
                  <w:vAlign w:val="center"/>
                </w:tcPr>
                <w:p w:rsidR="00AF2B9A" w:rsidRPr="00AF2B9A" w:rsidRDefault="00AF2B9A" w:rsidP="00704F67">
                  <w:pPr>
                    <w:rPr>
                      <w:b/>
                      <w:bCs/>
                      <w:color w:val="auto"/>
                    </w:rPr>
                  </w:pPr>
                </w:p>
              </w:tc>
              <w:tc>
                <w:tcPr>
                  <w:tcW w:w="794" w:type="dxa"/>
                  <w:shd w:val="clear" w:color="auto" w:fill="FFFF00"/>
                  <w:vAlign w:val="center"/>
                </w:tcPr>
                <w:p w:rsidR="00AF2B9A" w:rsidRPr="00664045" w:rsidRDefault="00AF2B9A" w:rsidP="00704F67">
                  <w:pPr>
                    <w:rPr>
                      <w:b/>
                      <w:bCs/>
                      <w:color w:val="auto"/>
                    </w:rPr>
                  </w:pPr>
                </w:p>
              </w:tc>
              <w:tc>
                <w:tcPr>
                  <w:tcW w:w="794" w:type="dxa"/>
                  <w:shd w:val="clear" w:color="auto" w:fill="FFFF00"/>
                  <w:vAlign w:val="center"/>
                </w:tcPr>
                <w:p w:rsidR="00AF2B9A" w:rsidRPr="00664045" w:rsidRDefault="00AF2B9A" w:rsidP="00704F67">
                  <w:pPr>
                    <w:rPr>
                      <w:b/>
                      <w:bCs/>
                      <w:color w:val="auto"/>
                    </w:rPr>
                  </w:pPr>
                </w:p>
              </w:tc>
              <w:tc>
                <w:tcPr>
                  <w:tcW w:w="794" w:type="dxa"/>
                  <w:shd w:val="clear" w:color="auto" w:fill="FFFF00"/>
                </w:tcPr>
                <w:p w:rsidR="00AF2B9A" w:rsidRPr="00664045" w:rsidRDefault="00AF2B9A" w:rsidP="00704F67">
                  <w:pPr>
                    <w:rPr>
                      <w:b/>
                      <w:bCs/>
                      <w:color w:val="auto"/>
                    </w:rPr>
                  </w:pPr>
                </w:p>
              </w:tc>
              <w:tc>
                <w:tcPr>
                  <w:tcW w:w="794" w:type="dxa"/>
                  <w:tcBorders>
                    <w:bottom w:val="single" w:sz="4" w:space="0" w:color="auto"/>
                  </w:tcBorders>
                  <w:shd w:val="clear" w:color="auto" w:fill="FFCC00"/>
                </w:tcPr>
                <w:p w:rsidR="00AF2B9A" w:rsidRPr="00664045" w:rsidRDefault="00AF2B9A" w:rsidP="00704F67">
                  <w:pPr>
                    <w:rPr>
                      <w:b/>
                      <w:bCs/>
                      <w:color w:val="auto"/>
                    </w:rPr>
                  </w:pPr>
                </w:p>
              </w:tc>
            </w:tr>
            <w:tr w:rsidR="00AF2B9A" w:rsidRPr="00AF2B9A" w:rsidTr="000D04EE">
              <w:trPr>
                <w:trHeight w:val="454"/>
                <w:jc w:val="center"/>
              </w:trPr>
              <w:tc>
                <w:tcPr>
                  <w:tcW w:w="794" w:type="dxa"/>
                  <w:shd w:val="clear" w:color="auto" w:fill="3366FF"/>
                  <w:vAlign w:val="center"/>
                </w:tcPr>
                <w:p w:rsidR="00AF2B9A" w:rsidRPr="00AF2B9A" w:rsidRDefault="00AF2B9A" w:rsidP="00704F67">
                  <w:pPr>
                    <w:rPr>
                      <w:b/>
                      <w:bCs/>
                      <w:color w:val="FFFFFF" w:themeColor="background1"/>
                    </w:rPr>
                  </w:pPr>
                </w:p>
              </w:tc>
              <w:tc>
                <w:tcPr>
                  <w:tcW w:w="794" w:type="dxa"/>
                  <w:tcBorders>
                    <w:bottom w:val="single" w:sz="4" w:space="0" w:color="auto"/>
                  </w:tcBorders>
                  <w:shd w:val="clear" w:color="auto" w:fill="99CC00"/>
                  <w:vAlign w:val="center"/>
                </w:tcPr>
                <w:p w:rsidR="00AF2B9A" w:rsidRPr="00C04F7B" w:rsidRDefault="00C04F7B" w:rsidP="00704F67">
                  <w:pPr>
                    <w:rPr>
                      <w:b/>
                      <w:bCs/>
                      <w:color w:val="auto"/>
                    </w:rPr>
                  </w:pPr>
                  <w:r w:rsidRPr="00C04F7B">
                    <w:rPr>
                      <w:b/>
                      <w:bCs/>
                      <w:color w:val="auto"/>
                    </w:rPr>
                    <w:t>CpP, CP</w:t>
                  </w:r>
                </w:p>
              </w:tc>
              <w:tc>
                <w:tcPr>
                  <w:tcW w:w="794" w:type="dxa"/>
                  <w:tcBorders>
                    <w:bottom w:val="single" w:sz="4" w:space="0" w:color="auto"/>
                  </w:tcBorders>
                  <w:shd w:val="clear" w:color="auto" w:fill="99CC00"/>
                  <w:vAlign w:val="center"/>
                </w:tcPr>
                <w:p w:rsidR="00AF2B9A" w:rsidRPr="00664045" w:rsidRDefault="00AF2B9A" w:rsidP="00704F67">
                  <w:pPr>
                    <w:rPr>
                      <w:b/>
                      <w:bCs/>
                      <w:color w:val="auto"/>
                    </w:rPr>
                  </w:pPr>
                </w:p>
              </w:tc>
              <w:tc>
                <w:tcPr>
                  <w:tcW w:w="794" w:type="dxa"/>
                  <w:tcBorders>
                    <w:bottom w:val="single" w:sz="4" w:space="0" w:color="auto"/>
                  </w:tcBorders>
                  <w:shd w:val="clear" w:color="auto" w:fill="99CC00"/>
                </w:tcPr>
                <w:p w:rsidR="00AF2B9A" w:rsidRPr="00664045" w:rsidRDefault="00AF2B9A" w:rsidP="00704F67">
                  <w:pPr>
                    <w:rPr>
                      <w:b/>
                      <w:bCs/>
                      <w:color w:val="auto"/>
                    </w:rPr>
                  </w:pPr>
                </w:p>
              </w:tc>
              <w:tc>
                <w:tcPr>
                  <w:tcW w:w="794" w:type="dxa"/>
                  <w:shd w:val="clear" w:color="auto" w:fill="FFFF00"/>
                </w:tcPr>
                <w:p w:rsidR="00AF2B9A" w:rsidRPr="00664045" w:rsidRDefault="00AF2B9A" w:rsidP="00704F67">
                  <w:pPr>
                    <w:rPr>
                      <w:b/>
                      <w:bCs/>
                      <w:color w:val="auto"/>
                    </w:rPr>
                  </w:pPr>
                </w:p>
              </w:tc>
            </w:tr>
            <w:tr w:rsidR="00AF2B9A" w:rsidRPr="00AF2B9A" w:rsidTr="000D04EE">
              <w:trPr>
                <w:trHeight w:val="454"/>
                <w:jc w:val="center"/>
              </w:trPr>
              <w:tc>
                <w:tcPr>
                  <w:tcW w:w="794" w:type="dxa"/>
                  <w:shd w:val="clear" w:color="auto" w:fill="3366FF"/>
                  <w:vAlign w:val="center"/>
                </w:tcPr>
                <w:p w:rsidR="00AF2B9A" w:rsidRPr="00AF2B9A" w:rsidRDefault="00D03760" w:rsidP="00704F67">
                  <w:pPr>
                    <w:rPr>
                      <w:b/>
                      <w:bCs/>
                      <w:color w:val="FFFFFF" w:themeColor="background1"/>
                    </w:rPr>
                  </w:pPr>
                  <w:r w:rsidRPr="00D03760">
                    <w:rPr>
                      <w:b/>
                      <w:bCs/>
                      <w:color w:val="auto"/>
                    </w:rPr>
                    <w:t>R</w:t>
                  </w:r>
                </w:p>
              </w:tc>
              <w:tc>
                <w:tcPr>
                  <w:tcW w:w="794" w:type="dxa"/>
                  <w:shd w:val="clear" w:color="auto" w:fill="3366FF"/>
                  <w:vAlign w:val="center"/>
                </w:tcPr>
                <w:p w:rsidR="00AF2B9A" w:rsidRPr="00C04F7B" w:rsidRDefault="00C04F7B" w:rsidP="00704F67">
                  <w:pPr>
                    <w:rPr>
                      <w:b/>
                      <w:bCs/>
                      <w:color w:val="auto"/>
                    </w:rPr>
                  </w:pPr>
                  <w:r w:rsidRPr="00C04F7B">
                    <w:rPr>
                      <w:b/>
                      <w:bCs/>
                      <w:color w:val="auto"/>
                    </w:rPr>
                    <w:t>CY, F</w:t>
                  </w:r>
                </w:p>
              </w:tc>
              <w:tc>
                <w:tcPr>
                  <w:tcW w:w="794" w:type="dxa"/>
                  <w:shd w:val="clear" w:color="auto" w:fill="3366FF"/>
                  <w:vAlign w:val="center"/>
                </w:tcPr>
                <w:p w:rsidR="00AF2B9A" w:rsidRPr="00AF2B9A" w:rsidRDefault="00AF2B9A" w:rsidP="00704F67">
                  <w:pPr>
                    <w:rPr>
                      <w:b/>
                      <w:bCs/>
                      <w:color w:val="FFFFFF" w:themeColor="background1"/>
                    </w:rPr>
                  </w:pPr>
                </w:p>
              </w:tc>
              <w:tc>
                <w:tcPr>
                  <w:tcW w:w="794" w:type="dxa"/>
                  <w:shd w:val="clear" w:color="auto" w:fill="3366FF"/>
                </w:tcPr>
                <w:p w:rsidR="00AF2B9A" w:rsidRPr="00AF2B9A" w:rsidRDefault="00AF2B9A" w:rsidP="00704F67">
                  <w:pPr>
                    <w:rPr>
                      <w:b/>
                      <w:bCs/>
                      <w:color w:val="FFFFFF" w:themeColor="background1"/>
                    </w:rPr>
                  </w:pPr>
                </w:p>
              </w:tc>
              <w:tc>
                <w:tcPr>
                  <w:tcW w:w="794" w:type="dxa"/>
                  <w:shd w:val="clear" w:color="auto" w:fill="99CC00"/>
                </w:tcPr>
                <w:p w:rsidR="00AF2B9A" w:rsidRPr="00AF2B9A" w:rsidRDefault="00AF2B9A" w:rsidP="00704F67">
                  <w:pPr>
                    <w:rPr>
                      <w:b/>
                      <w:bCs/>
                      <w:color w:val="FFFFFF" w:themeColor="background1"/>
                    </w:rPr>
                  </w:pPr>
                </w:p>
              </w:tc>
            </w:tr>
          </w:tbl>
          <w:p w:rsidR="00AF2B9A" w:rsidRPr="00AF2B9A" w:rsidRDefault="00AF2B9A" w:rsidP="00704F67">
            <w:pPr>
              <w:ind w:firstLine="1169"/>
              <w:rPr>
                <w:rFonts w:cs="Arial"/>
                <w:b/>
                <w:bCs/>
                <w:color w:val="auto"/>
                <w:sz w:val="20"/>
                <w:lang w:val="en-US" w:eastAsia="en-GB"/>
              </w:rPr>
            </w:pPr>
            <w:r w:rsidRPr="00AF2B9A">
              <w:rPr>
                <w:rFonts w:cs="Arial"/>
                <w:b/>
                <w:bCs/>
                <w:color w:val="auto"/>
                <w:sz w:val="20"/>
                <w:lang w:eastAsia="en-GB"/>
              </w:rPr>
              <w:t>Likelihood</w:t>
            </w:r>
          </w:p>
          <w:p w:rsidR="00AF2B9A" w:rsidRPr="00AF2B9A" w:rsidRDefault="00AF2B9A" w:rsidP="00704F67">
            <w:pPr>
              <w:ind w:firstLine="1169"/>
              <w:rPr>
                <w:rFonts w:ascii="Times New Roman" w:hAnsi="Times New Roman"/>
                <w:bCs/>
                <w:color w:val="auto"/>
                <w:sz w:val="20"/>
                <w:lang w:eastAsia="en-GB"/>
              </w:rPr>
            </w:pPr>
            <w:r w:rsidRPr="00AF2B9A">
              <w:rPr>
                <w:rFonts w:ascii="Times New Roman" w:hAnsi="Times New Roman"/>
                <w:bCs/>
                <w:noProof/>
                <w:color w:val="auto"/>
                <w:sz w:val="20"/>
                <w:lang w:eastAsia="en-GB"/>
              </w:rPr>
              <w:drawing>
                <wp:inline distT="0" distB="0" distL="0" distR="0" wp14:anchorId="48B4621C" wp14:editId="4B24A410">
                  <wp:extent cx="926465" cy="1644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465" cy="164465"/>
                          </a:xfrm>
                          <a:prstGeom prst="rect">
                            <a:avLst/>
                          </a:prstGeom>
                          <a:noFill/>
                        </pic:spPr>
                      </pic:pic>
                    </a:graphicData>
                  </a:graphic>
                </wp:inline>
              </w:drawing>
            </w:r>
          </w:p>
          <w:p w:rsidR="00AF2B9A" w:rsidRPr="00AF2B9A" w:rsidRDefault="00AF2B9A" w:rsidP="00704F67">
            <w:pPr>
              <w:rPr>
                <w:rFonts w:ascii="Times New Roman" w:hAnsi="Times New Roman"/>
                <w:bCs/>
                <w:color w:val="auto"/>
                <w:sz w:val="20"/>
                <w:lang w:val="en-US" w:eastAsia="en-GB"/>
              </w:rPr>
            </w:pPr>
          </w:p>
        </w:tc>
      </w:tr>
    </w:tbl>
    <w:p w:rsidR="005E2934" w:rsidRDefault="005E2934" w:rsidP="00704F67">
      <w:pPr>
        <w:rPr>
          <w:b/>
          <w:color w:val="auto"/>
        </w:rPr>
      </w:pPr>
    </w:p>
    <w:p w:rsidR="007A3588" w:rsidRPr="00121D17" w:rsidRDefault="007A3588" w:rsidP="00704F67">
      <w:pPr>
        <w:rPr>
          <w:rFonts w:cs="Arial"/>
          <w:b/>
          <w:bCs/>
          <w:color w:val="auto"/>
          <w:sz w:val="14"/>
        </w:rPr>
      </w:pPr>
      <w:r w:rsidRPr="00121D17">
        <w:rPr>
          <w:b/>
          <w:color w:val="auto"/>
        </w:rPr>
        <w:t>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5462"/>
      </w:tblGrid>
      <w:tr w:rsidR="007A3588" w:rsidRPr="00AC2B80" w:rsidTr="008D5613">
        <w:tc>
          <w:tcPr>
            <w:tcW w:w="3780" w:type="dxa"/>
          </w:tcPr>
          <w:p w:rsidR="007A3588" w:rsidRPr="00AC2B80" w:rsidRDefault="007A3588" w:rsidP="00704F67">
            <w:pPr>
              <w:pStyle w:val="Heading4"/>
              <w:rPr>
                <w:color w:val="auto"/>
                <w:sz w:val="20"/>
              </w:rPr>
            </w:pPr>
            <w:r w:rsidRPr="00AC2B80">
              <w:rPr>
                <w:color w:val="auto"/>
                <w:sz w:val="20"/>
              </w:rPr>
              <w:t>Categories</w:t>
            </w:r>
          </w:p>
        </w:tc>
        <w:tc>
          <w:tcPr>
            <w:tcW w:w="5462" w:type="dxa"/>
          </w:tcPr>
          <w:p w:rsidR="007A3588" w:rsidRPr="00AC2B80" w:rsidRDefault="007A3588" w:rsidP="00704F67">
            <w:pPr>
              <w:tabs>
                <w:tab w:val="left" w:pos="1440"/>
              </w:tabs>
              <w:rPr>
                <w:rFonts w:cs="Arial"/>
                <w:color w:val="auto"/>
                <w:sz w:val="20"/>
              </w:rPr>
            </w:pPr>
            <w:r w:rsidRPr="00AC2B80">
              <w:rPr>
                <w:rFonts w:cs="Arial"/>
                <w:b/>
                <w:color w:val="auto"/>
                <w:sz w:val="20"/>
              </w:rPr>
              <w:t xml:space="preserve">Colours </w:t>
            </w:r>
            <w:r w:rsidRPr="00AC2B80">
              <w:rPr>
                <w:rFonts w:cs="Arial"/>
                <w:i/>
                <w:color w:val="auto"/>
                <w:sz w:val="20"/>
              </w:rPr>
              <w:t>(for further detail please refer to</w:t>
            </w:r>
            <w:r w:rsidRPr="00AC2B80">
              <w:rPr>
                <w:rFonts w:cs="Arial"/>
                <w:color w:val="auto"/>
                <w:sz w:val="20"/>
              </w:rPr>
              <w:t xml:space="preserve"> </w:t>
            </w:r>
            <w:r w:rsidRPr="00AC2B80">
              <w:rPr>
                <w:rFonts w:cs="Arial"/>
                <w:i/>
                <w:color w:val="auto"/>
                <w:sz w:val="20"/>
              </w:rPr>
              <w:t>Risk management strategy)</w:t>
            </w:r>
          </w:p>
        </w:tc>
      </w:tr>
      <w:tr w:rsidR="007A3588" w:rsidRPr="00AC2B80" w:rsidTr="008D5613">
        <w:tc>
          <w:tcPr>
            <w:tcW w:w="3780" w:type="dxa"/>
          </w:tcPr>
          <w:p w:rsidR="007A3588" w:rsidRPr="00AC2B80" w:rsidRDefault="007A3588" w:rsidP="00704F67">
            <w:pPr>
              <w:tabs>
                <w:tab w:val="left" w:pos="612"/>
                <w:tab w:val="left" w:pos="1152"/>
              </w:tabs>
              <w:rPr>
                <w:rFonts w:cs="Arial"/>
                <w:color w:val="auto"/>
                <w:sz w:val="20"/>
                <w:u w:val="single"/>
              </w:rPr>
            </w:pPr>
            <w:r w:rsidRPr="00AC2B80">
              <w:rPr>
                <w:rFonts w:cs="Arial"/>
                <w:color w:val="auto"/>
                <w:sz w:val="20"/>
              </w:rPr>
              <w:t>R</w:t>
            </w:r>
            <w:r w:rsidRPr="00AC2B80">
              <w:rPr>
                <w:rFonts w:cs="Arial"/>
                <w:color w:val="auto"/>
                <w:sz w:val="20"/>
              </w:rPr>
              <w:tab/>
              <w:t>=</w:t>
            </w:r>
            <w:r w:rsidRPr="00AC2B80">
              <w:rPr>
                <w:rFonts w:cs="Arial"/>
                <w:color w:val="auto"/>
                <w:sz w:val="20"/>
              </w:rPr>
              <w:tab/>
              <w:t>Reputation</w:t>
            </w:r>
          </w:p>
          <w:p w:rsidR="007A3588" w:rsidRPr="00AC2B80" w:rsidRDefault="007A3588" w:rsidP="00704F67">
            <w:pPr>
              <w:tabs>
                <w:tab w:val="left" w:pos="612"/>
                <w:tab w:val="left" w:pos="1152"/>
              </w:tabs>
              <w:rPr>
                <w:rFonts w:cs="Arial"/>
                <w:color w:val="auto"/>
                <w:sz w:val="20"/>
              </w:rPr>
            </w:pPr>
            <w:r w:rsidRPr="00AC2B80">
              <w:rPr>
                <w:rFonts w:cs="Arial"/>
                <w:color w:val="auto"/>
                <w:sz w:val="20"/>
              </w:rPr>
              <w:t>CpP</w:t>
            </w:r>
            <w:r w:rsidRPr="00AC2B80">
              <w:rPr>
                <w:rFonts w:cs="Arial"/>
                <w:color w:val="auto"/>
                <w:sz w:val="20"/>
              </w:rPr>
              <w:tab/>
              <w:t>=</w:t>
            </w:r>
            <w:r w:rsidRPr="00AC2B80">
              <w:rPr>
                <w:rFonts w:cs="Arial"/>
                <w:color w:val="auto"/>
                <w:sz w:val="20"/>
              </w:rPr>
              <w:tab/>
              <w:t>Corporate Plan Priorities</w:t>
            </w:r>
          </w:p>
          <w:p w:rsidR="007A3588" w:rsidRPr="00AC2B80" w:rsidRDefault="007A3588" w:rsidP="00704F67">
            <w:pPr>
              <w:tabs>
                <w:tab w:val="left" w:pos="612"/>
                <w:tab w:val="left" w:pos="1152"/>
              </w:tabs>
              <w:rPr>
                <w:rFonts w:cs="Arial"/>
                <w:color w:val="auto"/>
                <w:sz w:val="20"/>
              </w:rPr>
            </w:pPr>
            <w:r w:rsidRPr="00AC2B80">
              <w:rPr>
                <w:rFonts w:cs="Arial"/>
                <w:color w:val="auto"/>
                <w:sz w:val="20"/>
              </w:rPr>
              <w:t xml:space="preserve">CP </w:t>
            </w:r>
            <w:r w:rsidRPr="00AC2B80">
              <w:rPr>
                <w:rFonts w:cs="Arial"/>
                <w:color w:val="auto"/>
                <w:sz w:val="20"/>
              </w:rPr>
              <w:tab/>
              <w:t>=</w:t>
            </w:r>
            <w:r w:rsidRPr="00AC2B80">
              <w:rPr>
                <w:rFonts w:cs="Arial"/>
                <w:color w:val="auto"/>
                <w:sz w:val="20"/>
              </w:rPr>
              <w:tab/>
              <w:t>Community Priorities</w:t>
            </w:r>
          </w:p>
          <w:p w:rsidR="007A3588" w:rsidRPr="00AC2B80" w:rsidRDefault="007A3588" w:rsidP="00704F67">
            <w:pPr>
              <w:tabs>
                <w:tab w:val="left" w:pos="612"/>
                <w:tab w:val="left" w:pos="1152"/>
              </w:tabs>
              <w:rPr>
                <w:rFonts w:cs="Arial"/>
                <w:color w:val="auto"/>
                <w:sz w:val="20"/>
              </w:rPr>
            </w:pPr>
            <w:r w:rsidRPr="00AC2B80">
              <w:rPr>
                <w:rFonts w:cs="Arial"/>
                <w:color w:val="auto"/>
                <w:sz w:val="20"/>
              </w:rPr>
              <w:t>CY</w:t>
            </w:r>
            <w:r w:rsidRPr="00AC2B80">
              <w:rPr>
                <w:rFonts w:cs="Arial"/>
                <w:color w:val="auto"/>
                <w:sz w:val="20"/>
              </w:rPr>
              <w:tab/>
              <w:t>=</w:t>
            </w:r>
            <w:r w:rsidRPr="00AC2B80">
              <w:rPr>
                <w:rFonts w:cs="Arial"/>
                <w:color w:val="auto"/>
                <w:sz w:val="20"/>
              </w:rPr>
              <w:tab/>
              <w:t>Capacity</w:t>
            </w:r>
          </w:p>
          <w:p w:rsidR="007A3588" w:rsidRPr="00AC2B80" w:rsidRDefault="007A3588" w:rsidP="00704F67">
            <w:pPr>
              <w:tabs>
                <w:tab w:val="left" w:pos="612"/>
                <w:tab w:val="left" w:pos="1152"/>
              </w:tabs>
              <w:rPr>
                <w:rFonts w:cs="Arial"/>
                <w:color w:val="auto"/>
                <w:sz w:val="20"/>
              </w:rPr>
            </w:pPr>
            <w:r w:rsidRPr="00AC2B80">
              <w:rPr>
                <w:rFonts w:cs="Arial"/>
                <w:color w:val="auto"/>
                <w:sz w:val="20"/>
              </w:rPr>
              <w:t>F</w:t>
            </w:r>
            <w:r w:rsidRPr="00AC2B80">
              <w:rPr>
                <w:rFonts w:cs="Arial"/>
                <w:color w:val="auto"/>
                <w:sz w:val="20"/>
              </w:rPr>
              <w:tab/>
              <w:t>=</w:t>
            </w:r>
            <w:r w:rsidRPr="00AC2B80">
              <w:rPr>
                <w:rFonts w:cs="Arial"/>
                <w:color w:val="auto"/>
                <w:sz w:val="20"/>
              </w:rPr>
              <w:tab/>
              <w:t>Financial</w:t>
            </w:r>
          </w:p>
        </w:tc>
        <w:tc>
          <w:tcPr>
            <w:tcW w:w="5462" w:type="dxa"/>
          </w:tcPr>
          <w:p w:rsidR="007A3588" w:rsidRPr="00AC2B80" w:rsidRDefault="007A3588" w:rsidP="00704F67">
            <w:pPr>
              <w:tabs>
                <w:tab w:val="left" w:pos="972"/>
              </w:tabs>
              <w:ind w:left="1440" w:hanging="1440"/>
              <w:rPr>
                <w:rFonts w:cs="Arial"/>
                <w:color w:val="auto"/>
                <w:sz w:val="20"/>
              </w:rPr>
            </w:pPr>
            <w:r w:rsidRPr="00AC2B80">
              <w:rPr>
                <w:rFonts w:cs="Arial"/>
                <w:color w:val="auto"/>
                <w:sz w:val="20"/>
              </w:rPr>
              <w:t>Red</w:t>
            </w:r>
            <w:r w:rsidRPr="00AC2B80">
              <w:rPr>
                <w:rFonts w:cs="Arial"/>
                <w:color w:val="auto"/>
                <w:sz w:val="20"/>
              </w:rPr>
              <w:tab/>
              <w:t>=</w:t>
            </w:r>
            <w:r w:rsidRPr="00AC2B80">
              <w:rPr>
                <w:rFonts w:cs="Arial"/>
                <w:color w:val="auto"/>
                <w:sz w:val="20"/>
              </w:rPr>
              <w:tab/>
              <w:t>High impact and high probability</w:t>
            </w:r>
          </w:p>
          <w:p w:rsidR="007A3588" w:rsidRPr="00AC2B80" w:rsidRDefault="007A3588" w:rsidP="00704F67">
            <w:pPr>
              <w:tabs>
                <w:tab w:val="left" w:pos="972"/>
                <w:tab w:val="left" w:pos="1440"/>
              </w:tabs>
              <w:ind w:left="1440" w:hanging="1440"/>
              <w:rPr>
                <w:rFonts w:cs="Arial"/>
                <w:color w:val="auto"/>
                <w:sz w:val="20"/>
              </w:rPr>
            </w:pPr>
            <w:r w:rsidRPr="00AC2B80">
              <w:rPr>
                <w:rFonts w:cs="Arial"/>
                <w:color w:val="auto"/>
                <w:sz w:val="20"/>
              </w:rPr>
              <w:t>Orange</w:t>
            </w:r>
            <w:r w:rsidRPr="00AC2B80">
              <w:rPr>
                <w:rFonts w:cs="Arial"/>
                <w:color w:val="auto"/>
                <w:sz w:val="20"/>
              </w:rPr>
              <w:tab/>
              <w:t>=</w:t>
            </w:r>
            <w:r w:rsidRPr="00AC2B80">
              <w:rPr>
                <w:rFonts w:cs="Arial"/>
                <w:color w:val="auto"/>
                <w:sz w:val="20"/>
              </w:rPr>
              <w:tab/>
              <w:t>Major impact and major probability</w:t>
            </w:r>
          </w:p>
          <w:p w:rsidR="007A3588" w:rsidRPr="00AC2B80" w:rsidRDefault="007A3588" w:rsidP="00704F67">
            <w:pPr>
              <w:tabs>
                <w:tab w:val="left" w:pos="972"/>
              </w:tabs>
              <w:ind w:left="1440" w:hanging="1440"/>
              <w:rPr>
                <w:rFonts w:cs="Arial"/>
                <w:color w:val="auto"/>
                <w:sz w:val="20"/>
              </w:rPr>
            </w:pPr>
            <w:r w:rsidRPr="00AC2B80">
              <w:rPr>
                <w:rFonts w:cs="Arial"/>
                <w:color w:val="auto"/>
                <w:sz w:val="20"/>
              </w:rPr>
              <w:t>Yellow</w:t>
            </w:r>
            <w:r w:rsidRPr="00AC2B80">
              <w:rPr>
                <w:rFonts w:cs="Arial"/>
                <w:color w:val="auto"/>
                <w:sz w:val="20"/>
              </w:rPr>
              <w:tab/>
              <w:t>=</w:t>
            </w:r>
            <w:r w:rsidRPr="00AC2B80">
              <w:rPr>
                <w:rFonts w:cs="Arial"/>
                <w:color w:val="auto"/>
                <w:sz w:val="20"/>
              </w:rPr>
              <w:tab/>
              <w:t>Moderate impact and moderate probability</w:t>
            </w:r>
          </w:p>
          <w:p w:rsidR="007A3588" w:rsidRPr="00AC2B80" w:rsidRDefault="007A3588" w:rsidP="00704F67">
            <w:pPr>
              <w:tabs>
                <w:tab w:val="left" w:pos="972"/>
              </w:tabs>
              <w:ind w:left="1440" w:hanging="1440"/>
              <w:rPr>
                <w:rFonts w:cs="Arial"/>
                <w:color w:val="auto"/>
                <w:sz w:val="20"/>
              </w:rPr>
            </w:pPr>
            <w:r w:rsidRPr="00AC2B80">
              <w:rPr>
                <w:rFonts w:cs="Arial"/>
                <w:color w:val="auto"/>
                <w:sz w:val="20"/>
              </w:rPr>
              <w:t>Green</w:t>
            </w:r>
            <w:r w:rsidRPr="00AC2B80">
              <w:rPr>
                <w:rFonts w:cs="Arial"/>
                <w:color w:val="auto"/>
                <w:sz w:val="20"/>
              </w:rPr>
              <w:tab/>
              <w:t>=</w:t>
            </w:r>
            <w:r w:rsidRPr="00AC2B80">
              <w:rPr>
                <w:rFonts w:cs="Arial"/>
                <w:color w:val="auto"/>
                <w:sz w:val="20"/>
              </w:rPr>
              <w:tab/>
              <w:t>Minor impact and minor probability</w:t>
            </w:r>
          </w:p>
          <w:p w:rsidR="007A3588" w:rsidRPr="00AC2B80" w:rsidRDefault="007A3588" w:rsidP="00704F67">
            <w:pPr>
              <w:tabs>
                <w:tab w:val="left" w:pos="972"/>
              </w:tabs>
              <w:ind w:left="1451" w:hanging="1451"/>
              <w:rPr>
                <w:rFonts w:cs="Arial"/>
                <w:color w:val="auto"/>
                <w:sz w:val="20"/>
              </w:rPr>
            </w:pPr>
            <w:r w:rsidRPr="00AC2B80">
              <w:rPr>
                <w:rFonts w:cs="Arial"/>
                <w:color w:val="auto"/>
                <w:sz w:val="20"/>
              </w:rPr>
              <w:t>Blue</w:t>
            </w:r>
            <w:r w:rsidRPr="00AC2B80">
              <w:rPr>
                <w:rFonts w:cs="Arial"/>
                <w:color w:val="auto"/>
                <w:sz w:val="20"/>
              </w:rPr>
              <w:tab/>
              <w:t>=</w:t>
            </w:r>
            <w:r w:rsidRPr="00AC2B80">
              <w:rPr>
                <w:rFonts w:cs="Arial"/>
                <w:color w:val="auto"/>
                <w:sz w:val="20"/>
              </w:rPr>
              <w:tab/>
              <w:t>Insignificant impact and insignificant probability</w:t>
            </w:r>
          </w:p>
        </w:tc>
      </w:tr>
    </w:tbl>
    <w:p w:rsidR="006927B1" w:rsidRDefault="006927B1" w:rsidP="00704F67">
      <w:pPr>
        <w:rPr>
          <w:b/>
          <w:bCs/>
          <w:color w:val="auto"/>
          <w:sz w:val="24"/>
        </w:rPr>
      </w:pPr>
    </w:p>
    <w:p w:rsidR="005245A2" w:rsidRPr="00121D17" w:rsidRDefault="002C1418" w:rsidP="00704F67">
      <w:pPr>
        <w:rPr>
          <w:b/>
          <w:bCs/>
          <w:color w:val="auto"/>
          <w:sz w:val="24"/>
        </w:rPr>
      </w:pPr>
      <w:r>
        <w:rPr>
          <w:b/>
          <w:bCs/>
          <w:color w:val="auto"/>
          <w:sz w:val="24"/>
        </w:rPr>
        <w:t>Council Plan</w:t>
      </w:r>
      <w:r w:rsidR="005245A2" w:rsidRPr="00121D17">
        <w:rPr>
          <w:b/>
          <w:bCs/>
          <w:color w:val="auto"/>
          <w:sz w:val="24"/>
        </w:rPr>
        <w:t xml:space="preserve"> Implications </w:t>
      </w:r>
    </w:p>
    <w:p w:rsidR="00793CBB" w:rsidRPr="00121D17" w:rsidRDefault="00793CBB" w:rsidP="00704F67">
      <w:pPr>
        <w:pStyle w:val="Heading5"/>
        <w:rPr>
          <w:color w:val="auto"/>
          <w:sz w:val="22"/>
          <w:szCs w:val="22"/>
        </w:rPr>
      </w:pPr>
    </w:p>
    <w:p w:rsidR="00C04F7B" w:rsidRPr="0012293C" w:rsidRDefault="00CC7B72" w:rsidP="0012293C">
      <w:pPr>
        <w:pStyle w:val="Default"/>
        <w:ind w:left="426" w:hanging="426"/>
        <w:rPr>
          <w:rFonts w:ascii="Arial" w:hAnsi="Arial" w:cs="Arial"/>
        </w:rPr>
      </w:pPr>
      <w:r>
        <w:rPr>
          <w:rFonts w:ascii="Arial" w:hAnsi="Arial" w:cs="Arial"/>
        </w:rPr>
        <w:t>23</w:t>
      </w:r>
      <w:r w:rsidR="00A73C69">
        <w:rPr>
          <w:rFonts w:ascii="Arial" w:hAnsi="Arial" w:cs="Arial"/>
        </w:rPr>
        <w:t xml:space="preserve"> </w:t>
      </w:r>
      <w:r w:rsidR="00A73C69">
        <w:rPr>
          <w:rFonts w:ascii="Arial" w:hAnsi="Arial" w:cs="Arial"/>
        </w:rPr>
        <w:tab/>
        <w:t>T</w:t>
      </w:r>
      <w:r w:rsidR="00883CC9" w:rsidRPr="00883CC9">
        <w:rPr>
          <w:rFonts w:ascii="Arial" w:hAnsi="Arial" w:cs="Arial"/>
        </w:rPr>
        <w:t xml:space="preserve">he </w:t>
      </w:r>
      <w:r w:rsidR="00883CC9">
        <w:rPr>
          <w:rFonts w:cs="Arial"/>
        </w:rPr>
        <w:t>N</w:t>
      </w:r>
      <w:r w:rsidR="00883CC9" w:rsidRPr="00883CC9">
        <w:rPr>
          <w:rFonts w:ascii="Arial" w:hAnsi="Arial" w:cs="Arial"/>
        </w:rPr>
        <w:t>eighbourhood Plan accords with the Council’s aims to increase the focus on</w:t>
      </w:r>
      <w:r w:rsidR="00883CC9">
        <w:rPr>
          <w:rFonts w:cs="Arial"/>
        </w:rPr>
        <w:t xml:space="preserve"> jobs and economic development,</w:t>
      </w:r>
      <w:r w:rsidR="00883CC9" w:rsidRPr="00883CC9">
        <w:rPr>
          <w:rFonts w:ascii="Arial" w:hAnsi="Arial" w:cs="Arial"/>
        </w:rPr>
        <w:t xml:space="preserve"> protect and enhance the quality of our environment; and to enable housing to meet all needs. </w:t>
      </w:r>
      <w:r w:rsidR="0012293C">
        <w:rPr>
          <w:rFonts w:ascii="Arial" w:hAnsi="Arial" w:cs="Arial"/>
        </w:rPr>
        <w:t>The District Council’s</w:t>
      </w:r>
      <w:r w:rsidR="00883CC9" w:rsidRPr="00883CC9">
        <w:rPr>
          <w:rFonts w:ascii="Arial" w:hAnsi="Arial" w:cs="Arial"/>
        </w:rPr>
        <w:t xml:space="preserve"> values include supporting people and communities, enabling them to help themselves; </w:t>
      </w:r>
      <w:r w:rsidR="0012293C">
        <w:rPr>
          <w:rFonts w:ascii="Arial" w:hAnsi="Arial" w:cs="Arial"/>
        </w:rPr>
        <w:t xml:space="preserve">and </w:t>
      </w:r>
      <w:r w:rsidR="00883CC9" w:rsidRPr="00883CC9">
        <w:rPr>
          <w:rFonts w:ascii="Arial" w:hAnsi="Arial" w:cs="Arial"/>
        </w:rPr>
        <w:t xml:space="preserve">the Neighbourhood Plan has been prepared by the local community who wish to have an influence on </w:t>
      </w:r>
      <w:r w:rsidR="00883CC9" w:rsidRPr="0012293C">
        <w:rPr>
          <w:rFonts w:ascii="Arial" w:hAnsi="Arial" w:cs="Arial"/>
        </w:rPr>
        <w:t xml:space="preserve">future development in the town. </w:t>
      </w:r>
      <w:r w:rsidR="0012293C">
        <w:rPr>
          <w:rFonts w:ascii="Arial" w:hAnsi="Arial" w:cs="Arial"/>
        </w:rPr>
        <w:t>The Council Plan states that it will focus on</w:t>
      </w:r>
      <w:r w:rsidR="0012293C" w:rsidRPr="0012293C">
        <w:rPr>
          <w:rFonts w:ascii="Arial" w:hAnsi="Arial" w:cs="Arial"/>
        </w:rPr>
        <w:t xml:space="preserve"> support</w:t>
      </w:r>
      <w:r w:rsidR="0012293C">
        <w:rPr>
          <w:rFonts w:ascii="Arial" w:hAnsi="Arial" w:cs="Arial"/>
        </w:rPr>
        <w:t>ing</w:t>
      </w:r>
      <w:r w:rsidR="0012293C" w:rsidRPr="0012293C">
        <w:rPr>
          <w:rFonts w:ascii="Arial" w:hAnsi="Arial" w:cs="Arial"/>
        </w:rPr>
        <w:t xml:space="preserve"> communities to develop local, parish and neighbourhood plans.</w:t>
      </w:r>
    </w:p>
    <w:p w:rsidR="005245A2" w:rsidRPr="00121D17" w:rsidRDefault="005245A2" w:rsidP="00704F67">
      <w:pPr>
        <w:pStyle w:val="Heading5"/>
        <w:ind w:left="426"/>
        <w:rPr>
          <w:color w:val="auto"/>
          <w:sz w:val="22"/>
          <w:szCs w:val="22"/>
        </w:rPr>
      </w:pPr>
    </w:p>
    <w:p w:rsidR="005245A2" w:rsidRPr="00121D17" w:rsidRDefault="00121D17" w:rsidP="00704F67">
      <w:pPr>
        <w:rPr>
          <w:b/>
          <w:bCs/>
          <w:color w:val="auto"/>
          <w:sz w:val="24"/>
        </w:rPr>
      </w:pPr>
      <w:r>
        <w:rPr>
          <w:b/>
          <w:bCs/>
          <w:color w:val="auto"/>
          <w:sz w:val="24"/>
        </w:rPr>
        <w:t>Carbon Emissions and</w:t>
      </w:r>
      <w:r w:rsidR="005245A2" w:rsidRPr="00121D17">
        <w:rPr>
          <w:b/>
          <w:bCs/>
          <w:color w:val="auto"/>
          <w:sz w:val="24"/>
        </w:rPr>
        <w:t xml:space="preserve"> Cli</w:t>
      </w:r>
      <w:r w:rsidR="00674F4F" w:rsidRPr="00121D17">
        <w:rPr>
          <w:b/>
          <w:bCs/>
          <w:color w:val="auto"/>
          <w:sz w:val="24"/>
        </w:rPr>
        <w:t xml:space="preserve">mate Change Implications </w:t>
      </w:r>
    </w:p>
    <w:p w:rsidR="00F43696" w:rsidRPr="00121D17" w:rsidRDefault="00FF7B07" w:rsidP="00704F67">
      <w:pPr>
        <w:rPr>
          <w:i/>
          <w:iCs/>
          <w:color w:val="auto"/>
        </w:rPr>
      </w:pPr>
      <w:r>
        <w:rPr>
          <w:i/>
          <w:iCs/>
          <w:color w:val="auto"/>
        </w:rPr>
        <w:t xml:space="preserve"> </w:t>
      </w:r>
    </w:p>
    <w:p w:rsidR="005064B8" w:rsidRDefault="00CC7B72" w:rsidP="005064B8">
      <w:pPr>
        <w:ind w:left="426" w:hanging="426"/>
        <w:jc w:val="left"/>
        <w:rPr>
          <w:bCs/>
          <w:color w:val="auto"/>
          <w:szCs w:val="22"/>
        </w:rPr>
      </w:pPr>
      <w:r>
        <w:rPr>
          <w:bCs/>
          <w:color w:val="auto"/>
          <w:szCs w:val="22"/>
        </w:rPr>
        <w:t>24</w:t>
      </w:r>
      <w:r w:rsidR="00A73C69">
        <w:rPr>
          <w:bCs/>
          <w:color w:val="auto"/>
          <w:szCs w:val="22"/>
        </w:rPr>
        <w:tab/>
      </w:r>
      <w:r w:rsidR="00FF7B07">
        <w:rPr>
          <w:bCs/>
          <w:color w:val="auto"/>
          <w:szCs w:val="22"/>
        </w:rPr>
        <w:t>The Wincanton N</w:t>
      </w:r>
      <w:r w:rsidR="00B72F78">
        <w:rPr>
          <w:bCs/>
          <w:color w:val="auto"/>
          <w:szCs w:val="22"/>
        </w:rPr>
        <w:t>eighbourhood P</w:t>
      </w:r>
      <w:r w:rsidR="00FF7B07">
        <w:rPr>
          <w:bCs/>
          <w:color w:val="auto"/>
          <w:szCs w:val="22"/>
        </w:rPr>
        <w:t xml:space="preserve">lan does not </w:t>
      </w:r>
      <w:r w:rsidR="00B72F78">
        <w:rPr>
          <w:bCs/>
          <w:color w:val="auto"/>
          <w:szCs w:val="22"/>
        </w:rPr>
        <w:t>directly address</w:t>
      </w:r>
      <w:r w:rsidR="00FF7B07">
        <w:rPr>
          <w:bCs/>
          <w:color w:val="auto"/>
          <w:szCs w:val="22"/>
        </w:rPr>
        <w:t xml:space="preserve"> carb</w:t>
      </w:r>
      <w:r w:rsidR="00B72F78">
        <w:rPr>
          <w:bCs/>
          <w:color w:val="auto"/>
          <w:szCs w:val="22"/>
        </w:rPr>
        <w:t>on emissions or climate change and no such issues arise.</w:t>
      </w:r>
    </w:p>
    <w:p w:rsidR="00674F4F" w:rsidRPr="00121D17" w:rsidRDefault="00674F4F" w:rsidP="00704F67">
      <w:pPr>
        <w:rPr>
          <w:bCs/>
          <w:i/>
          <w:color w:val="auto"/>
          <w:sz w:val="24"/>
        </w:rPr>
      </w:pPr>
    </w:p>
    <w:p w:rsidR="005245A2" w:rsidRPr="00121D17" w:rsidRDefault="005245A2" w:rsidP="00704F67">
      <w:pPr>
        <w:rPr>
          <w:b/>
          <w:bCs/>
          <w:color w:val="auto"/>
          <w:sz w:val="24"/>
        </w:rPr>
      </w:pPr>
      <w:r w:rsidRPr="00121D17">
        <w:rPr>
          <w:b/>
          <w:bCs/>
          <w:color w:val="auto"/>
          <w:sz w:val="24"/>
        </w:rPr>
        <w:t>Equality and Diversity Implications</w:t>
      </w:r>
    </w:p>
    <w:p w:rsidR="00F43696" w:rsidRPr="005064B8" w:rsidRDefault="00F43696" w:rsidP="00704F67">
      <w:pPr>
        <w:pStyle w:val="BodyText3"/>
        <w:rPr>
          <w:i w:val="0"/>
          <w:color w:val="auto"/>
        </w:rPr>
      </w:pPr>
    </w:p>
    <w:p w:rsidR="005064B8" w:rsidRPr="005064B8" w:rsidRDefault="00E56661" w:rsidP="005064B8">
      <w:pPr>
        <w:pStyle w:val="BodyText3"/>
        <w:ind w:left="426" w:hanging="426"/>
        <w:rPr>
          <w:i w:val="0"/>
          <w:color w:val="auto"/>
          <w:szCs w:val="22"/>
        </w:rPr>
      </w:pPr>
      <w:r>
        <w:rPr>
          <w:i w:val="0"/>
          <w:color w:val="auto"/>
        </w:rPr>
        <w:t>2</w:t>
      </w:r>
      <w:r w:rsidR="00CC7B72">
        <w:rPr>
          <w:i w:val="0"/>
          <w:color w:val="auto"/>
        </w:rPr>
        <w:t>5</w:t>
      </w:r>
      <w:r w:rsidR="005064B8" w:rsidRPr="005064B8">
        <w:rPr>
          <w:rFonts w:cs="Arial"/>
          <w:color w:val="0000FF"/>
          <w:sz w:val="24"/>
          <w:szCs w:val="24"/>
        </w:rPr>
        <w:t xml:space="preserve"> </w:t>
      </w:r>
      <w:r w:rsidR="00FF7B07">
        <w:rPr>
          <w:rFonts w:cs="Arial"/>
          <w:color w:val="0000FF"/>
          <w:sz w:val="24"/>
          <w:szCs w:val="24"/>
        </w:rPr>
        <w:tab/>
      </w:r>
      <w:r w:rsidR="005064B8" w:rsidRPr="005064B8">
        <w:rPr>
          <w:rFonts w:cs="Arial"/>
          <w:i w:val="0"/>
          <w:color w:val="auto"/>
          <w:szCs w:val="22"/>
        </w:rPr>
        <w:t xml:space="preserve">No significant changes to a Service, Policy or Strategy are proposed directly and it is </w:t>
      </w:r>
      <w:r w:rsidR="00FF7B07">
        <w:rPr>
          <w:rFonts w:cs="Arial"/>
          <w:i w:val="0"/>
          <w:color w:val="auto"/>
          <w:szCs w:val="22"/>
        </w:rPr>
        <w:t>therefore not n</w:t>
      </w:r>
      <w:r w:rsidR="005064B8" w:rsidRPr="005064B8">
        <w:rPr>
          <w:rFonts w:cs="Arial"/>
          <w:i w:val="0"/>
          <w:color w:val="auto"/>
          <w:szCs w:val="22"/>
        </w:rPr>
        <w:t>ecessary that an Eq</w:t>
      </w:r>
      <w:r w:rsidR="005064B8">
        <w:rPr>
          <w:rFonts w:cs="Arial"/>
          <w:i w:val="0"/>
          <w:color w:val="auto"/>
          <w:szCs w:val="22"/>
        </w:rPr>
        <w:t xml:space="preserve">uality </w:t>
      </w:r>
      <w:r w:rsidR="005064B8" w:rsidRPr="005064B8">
        <w:rPr>
          <w:rFonts w:cs="Arial"/>
          <w:i w:val="0"/>
          <w:color w:val="auto"/>
          <w:szCs w:val="22"/>
        </w:rPr>
        <w:t>A</w:t>
      </w:r>
      <w:r w:rsidR="005064B8">
        <w:rPr>
          <w:rFonts w:cs="Arial"/>
          <w:i w:val="0"/>
          <w:color w:val="auto"/>
          <w:szCs w:val="22"/>
        </w:rPr>
        <w:t>ssessment</w:t>
      </w:r>
      <w:r w:rsidR="005064B8" w:rsidRPr="005064B8">
        <w:rPr>
          <w:rFonts w:cs="Arial"/>
          <w:i w:val="0"/>
          <w:color w:val="auto"/>
          <w:szCs w:val="22"/>
        </w:rPr>
        <w:t xml:space="preserve"> is undertaken</w:t>
      </w:r>
      <w:r w:rsidR="005064B8">
        <w:rPr>
          <w:rFonts w:cs="Arial"/>
          <w:i w:val="0"/>
          <w:color w:val="auto"/>
          <w:szCs w:val="22"/>
        </w:rPr>
        <w:t>.</w:t>
      </w:r>
    </w:p>
    <w:p w:rsidR="00787E2C" w:rsidRPr="005064B8" w:rsidRDefault="00787E2C" w:rsidP="00704F67">
      <w:pPr>
        <w:pStyle w:val="BodyText3"/>
        <w:rPr>
          <w:i w:val="0"/>
          <w:color w:val="auto"/>
          <w:szCs w:val="22"/>
        </w:rPr>
      </w:pPr>
    </w:p>
    <w:p w:rsidR="00787E2C" w:rsidRPr="00121D17" w:rsidRDefault="00787E2C" w:rsidP="00704F67">
      <w:pPr>
        <w:pStyle w:val="BodyText3"/>
        <w:rPr>
          <w:b/>
          <w:i w:val="0"/>
          <w:color w:val="auto"/>
          <w:sz w:val="24"/>
        </w:rPr>
      </w:pPr>
      <w:r w:rsidRPr="00121D17">
        <w:rPr>
          <w:b/>
          <w:i w:val="0"/>
          <w:color w:val="auto"/>
          <w:sz w:val="24"/>
        </w:rPr>
        <w:t>Privacy Impact Assessment</w:t>
      </w:r>
    </w:p>
    <w:p w:rsidR="00787E2C" w:rsidRPr="00121D17" w:rsidRDefault="00787E2C" w:rsidP="00704F67">
      <w:pPr>
        <w:pStyle w:val="BodyText3"/>
        <w:rPr>
          <w:color w:val="auto"/>
        </w:rPr>
      </w:pPr>
    </w:p>
    <w:p w:rsidR="00787E2C" w:rsidRPr="00CC7B72" w:rsidRDefault="005064B8" w:rsidP="00CC7B72">
      <w:pPr>
        <w:pStyle w:val="ListParagraph"/>
        <w:numPr>
          <w:ilvl w:val="0"/>
          <w:numId w:val="47"/>
        </w:numPr>
        <w:tabs>
          <w:tab w:val="left" w:pos="-7"/>
          <w:tab w:val="left" w:pos="426"/>
        </w:tabs>
        <w:ind w:hanging="1146"/>
        <w:rPr>
          <w:color w:val="auto"/>
          <w:szCs w:val="24"/>
        </w:rPr>
      </w:pPr>
      <w:r w:rsidRPr="00CC7B72">
        <w:rPr>
          <w:color w:val="auto"/>
          <w:szCs w:val="24"/>
        </w:rPr>
        <w:t xml:space="preserve">No personal data handling is involved. </w:t>
      </w:r>
    </w:p>
    <w:p w:rsidR="005245A2" w:rsidRPr="007B31C3" w:rsidRDefault="005245A2" w:rsidP="00704F67">
      <w:pPr>
        <w:tabs>
          <w:tab w:val="left" w:pos="-7"/>
          <w:tab w:val="left" w:pos="8620"/>
        </w:tabs>
        <w:rPr>
          <w:color w:val="auto"/>
          <w:szCs w:val="24"/>
        </w:rPr>
      </w:pPr>
    </w:p>
    <w:p w:rsidR="003E675A" w:rsidRDefault="003E675A" w:rsidP="00704F67">
      <w:pPr>
        <w:tabs>
          <w:tab w:val="left" w:pos="-7"/>
          <w:tab w:val="left" w:pos="8620"/>
        </w:tabs>
        <w:rPr>
          <w:b/>
          <w:color w:val="auto"/>
          <w:sz w:val="24"/>
          <w:szCs w:val="24"/>
        </w:rPr>
      </w:pPr>
    </w:p>
    <w:p w:rsidR="007B31C3" w:rsidRPr="007B31C3" w:rsidRDefault="007B31C3" w:rsidP="00704F67">
      <w:pPr>
        <w:tabs>
          <w:tab w:val="left" w:pos="-7"/>
          <w:tab w:val="left" w:pos="8620"/>
        </w:tabs>
        <w:rPr>
          <w:b/>
          <w:color w:val="auto"/>
          <w:sz w:val="24"/>
          <w:szCs w:val="24"/>
        </w:rPr>
      </w:pPr>
      <w:r w:rsidRPr="007B31C3">
        <w:rPr>
          <w:b/>
          <w:color w:val="auto"/>
          <w:sz w:val="24"/>
          <w:szCs w:val="24"/>
        </w:rPr>
        <w:t>Background Papers</w:t>
      </w:r>
    </w:p>
    <w:p w:rsidR="007B31C3" w:rsidRDefault="007B31C3" w:rsidP="00704F67">
      <w:pPr>
        <w:tabs>
          <w:tab w:val="left" w:pos="-7"/>
          <w:tab w:val="left" w:pos="8620"/>
        </w:tabs>
        <w:rPr>
          <w:color w:val="auto"/>
          <w:sz w:val="20"/>
          <w:szCs w:val="24"/>
        </w:rPr>
      </w:pPr>
    </w:p>
    <w:p w:rsidR="007B31C3" w:rsidRDefault="009B0EFC" w:rsidP="00704F67">
      <w:pPr>
        <w:tabs>
          <w:tab w:val="left" w:pos="426"/>
          <w:tab w:val="left" w:pos="8620"/>
        </w:tabs>
        <w:ind w:left="426" w:hanging="426"/>
        <w:rPr>
          <w:bCs/>
          <w:iCs/>
          <w:color w:val="auto"/>
          <w:szCs w:val="24"/>
        </w:rPr>
      </w:pPr>
      <w:r w:rsidRPr="009B0EFC">
        <w:rPr>
          <w:bCs/>
          <w:iCs/>
          <w:color w:val="auto"/>
          <w:szCs w:val="24"/>
        </w:rPr>
        <w:t>Appendix A –</w:t>
      </w:r>
      <w:r w:rsidR="00E56661">
        <w:rPr>
          <w:bCs/>
          <w:iCs/>
          <w:color w:val="auto"/>
          <w:szCs w:val="24"/>
        </w:rPr>
        <w:t xml:space="preserve"> </w:t>
      </w:r>
      <w:r w:rsidR="00505315">
        <w:rPr>
          <w:bCs/>
          <w:iCs/>
          <w:color w:val="auto"/>
          <w:szCs w:val="24"/>
        </w:rPr>
        <w:t>Examiner’s Report</w:t>
      </w:r>
    </w:p>
    <w:p w:rsidR="001E610D" w:rsidRDefault="00505315" w:rsidP="00D547F7">
      <w:pPr>
        <w:tabs>
          <w:tab w:val="left" w:pos="426"/>
          <w:tab w:val="left" w:pos="8620"/>
        </w:tabs>
        <w:ind w:left="426" w:hanging="426"/>
        <w:rPr>
          <w:color w:val="auto"/>
          <w:sz w:val="20"/>
          <w:szCs w:val="24"/>
        </w:rPr>
      </w:pPr>
      <w:r>
        <w:rPr>
          <w:bCs/>
          <w:iCs/>
          <w:color w:val="auto"/>
          <w:szCs w:val="24"/>
        </w:rPr>
        <w:t>Appendix B – Wincanton Neighbourhood Plan (with Proposed Modifications)</w:t>
      </w:r>
      <w:r>
        <w:rPr>
          <w:color w:val="auto"/>
          <w:sz w:val="20"/>
          <w:szCs w:val="24"/>
        </w:rPr>
        <w:t xml:space="preserve"> </w:t>
      </w:r>
    </w:p>
    <w:sectPr w:rsidR="001E610D" w:rsidSect="001C2E3B">
      <w:pgSz w:w="11906" w:h="16838" w:code="9"/>
      <w:pgMar w:top="1134" w:right="964" w:bottom="1276" w:left="96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8C" w:rsidRDefault="00997A8C" w:rsidP="003B5E6A">
      <w:r>
        <w:separator/>
      </w:r>
    </w:p>
  </w:endnote>
  <w:endnote w:type="continuationSeparator" w:id="0">
    <w:p w:rsidR="00997A8C" w:rsidRDefault="00997A8C" w:rsidP="003B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8C" w:rsidRDefault="00997A8C" w:rsidP="003B5E6A">
      <w:r>
        <w:separator/>
      </w:r>
    </w:p>
  </w:footnote>
  <w:footnote w:type="continuationSeparator" w:id="0">
    <w:p w:rsidR="00997A8C" w:rsidRDefault="00997A8C" w:rsidP="003B5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3E7"/>
    <w:multiLevelType w:val="hybridMultilevel"/>
    <w:tmpl w:val="93D28248"/>
    <w:lvl w:ilvl="0" w:tplc="BF3E1EB6">
      <w:start w:val="26"/>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180A6210"/>
    <w:multiLevelType w:val="hybridMultilevel"/>
    <w:tmpl w:val="B23E8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B16D56"/>
    <w:multiLevelType w:val="hybridMultilevel"/>
    <w:tmpl w:val="3FB456C2"/>
    <w:lvl w:ilvl="0" w:tplc="49A0FC50">
      <w:start w:val="13"/>
      <w:numFmt w:val="decimal"/>
      <w:lvlText w:val="%1"/>
      <w:lvlJc w:val="left"/>
      <w:pPr>
        <w:ind w:left="786" w:hanging="360"/>
      </w:pPr>
      <w:rPr>
        <w:rFonts w:cs="Aria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8ED620E"/>
    <w:multiLevelType w:val="multilevel"/>
    <w:tmpl w:val="E58CF0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B931F6A"/>
    <w:multiLevelType w:val="hybridMultilevel"/>
    <w:tmpl w:val="C46A8910"/>
    <w:styleLink w:val="Bullets"/>
    <w:lvl w:ilvl="0" w:tplc="A6488BAC">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B004500">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1A11BC">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A7CF8B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AC2A3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3BC8E38">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1A89B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9292F8">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A96DB6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3EA0CBF"/>
    <w:multiLevelType w:val="hybridMultilevel"/>
    <w:tmpl w:val="A60CB6B8"/>
    <w:lvl w:ilvl="0" w:tplc="85801854">
      <w:start w:val="1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2D30565F"/>
    <w:multiLevelType w:val="hybridMultilevel"/>
    <w:tmpl w:val="A0B8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4243A5"/>
    <w:multiLevelType w:val="hybridMultilevel"/>
    <w:tmpl w:val="8B62BD78"/>
    <w:styleLink w:val="Numbered"/>
    <w:lvl w:ilvl="0" w:tplc="178487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9D89174">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A04CEA04">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BB24268">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25C43E7A">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44609B0E">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FCD4F17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D5C80B52">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05043A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2F0E5757"/>
    <w:multiLevelType w:val="hybridMultilevel"/>
    <w:tmpl w:val="6A1AD25A"/>
    <w:lvl w:ilvl="0" w:tplc="A860D7AC">
      <w:start w:val="23"/>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nsid w:val="2F5E6411"/>
    <w:multiLevelType w:val="hybridMultilevel"/>
    <w:tmpl w:val="6944F42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nsid w:val="30835496"/>
    <w:multiLevelType w:val="hybridMultilevel"/>
    <w:tmpl w:val="6792D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3075990"/>
    <w:multiLevelType w:val="multilevel"/>
    <w:tmpl w:val="6FFECAD6"/>
    <w:styleLink w:val="ImportedStyle1"/>
    <w:lvl w:ilvl="0">
      <w:start w:val="1"/>
      <w:numFmt w:val="decimal"/>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34A271A4"/>
    <w:multiLevelType w:val="hybridMultilevel"/>
    <w:tmpl w:val="9A7C067E"/>
    <w:lvl w:ilvl="0" w:tplc="2FF8A01A">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37822534"/>
    <w:multiLevelType w:val="hybridMultilevel"/>
    <w:tmpl w:val="8B62BD78"/>
    <w:numStyleLink w:val="Numbered"/>
  </w:abstractNum>
  <w:abstractNum w:abstractNumId="14">
    <w:nsid w:val="385312F9"/>
    <w:multiLevelType w:val="hybridMultilevel"/>
    <w:tmpl w:val="FFD05D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3A4520A4"/>
    <w:multiLevelType w:val="singleLevel"/>
    <w:tmpl w:val="C602C822"/>
    <w:lvl w:ilvl="0">
      <w:start w:val="1"/>
      <w:numFmt w:val="bullet"/>
      <w:lvlText w:val=""/>
      <w:lvlJc w:val="left"/>
      <w:pPr>
        <w:tabs>
          <w:tab w:val="num" w:pos="720"/>
        </w:tabs>
        <w:ind w:left="720" w:hanging="720"/>
      </w:pPr>
      <w:rPr>
        <w:rFonts w:ascii="Symbol" w:hAnsi="Symbol" w:hint="default"/>
      </w:rPr>
    </w:lvl>
  </w:abstractNum>
  <w:abstractNum w:abstractNumId="16">
    <w:nsid w:val="3B753E94"/>
    <w:multiLevelType w:val="hybridMultilevel"/>
    <w:tmpl w:val="CA1C178E"/>
    <w:lvl w:ilvl="0" w:tplc="5B2E7F8E">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3CEB4B5F"/>
    <w:multiLevelType w:val="multilevel"/>
    <w:tmpl w:val="DF323770"/>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CF37ADD"/>
    <w:multiLevelType w:val="hybridMultilevel"/>
    <w:tmpl w:val="0F6051EE"/>
    <w:lvl w:ilvl="0" w:tplc="0809001B">
      <w:start w:val="1"/>
      <w:numFmt w:val="lowerRoman"/>
      <w:lvlText w:val="%1."/>
      <w:lvlJc w:val="righ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127099"/>
    <w:multiLevelType w:val="hybridMultilevel"/>
    <w:tmpl w:val="B9382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BD12BC"/>
    <w:multiLevelType w:val="hybridMultilevel"/>
    <w:tmpl w:val="B66A87AE"/>
    <w:styleLink w:val="ImportedStyle5"/>
    <w:lvl w:ilvl="0" w:tplc="A12C964C">
      <w:start w:val="1"/>
      <w:numFmt w:val="bullet"/>
      <w:lvlText w:val="&gt;"/>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E4A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F85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7CCC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C073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FA91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E0FA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58E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AAFE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381723C"/>
    <w:multiLevelType w:val="hybridMultilevel"/>
    <w:tmpl w:val="83583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6B755A"/>
    <w:multiLevelType w:val="hybridMultilevel"/>
    <w:tmpl w:val="C0700B64"/>
    <w:lvl w:ilvl="0" w:tplc="42F2B40C">
      <w:start w:val="1"/>
      <w:numFmt w:val="bullet"/>
      <w:lvlText w:val="&gt;"/>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1042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DEADE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7270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AEE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A07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EE61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5A7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1C74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7112270"/>
    <w:multiLevelType w:val="hybridMultilevel"/>
    <w:tmpl w:val="AA286FB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100BE0"/>
    <w:multiLevelType w:val="hybridMultilevel"/>
    <w:tmpl w:val="71BA8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B8153B"/>
    <w:multiLevelType w:val="multilevel"/>
    <w:tmpl w:val="6FFECAD6"/>
    <w:numStyleLink w:val="ImportedStyle1"/>
  </w:abstractNum>
  <w:abstractNum w:abstractNumId="26">
    <w:nsid w:val="53F65266"/>
    <w:multiLevelType w:val="hybridMultilevel"/>
    <w:tmpl w:val="AABA11B8"/>
    <w:lvl w:ilvl="0" w:tplc="F31650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7227D22"/>
    <w:multiLevelType w:val="hybridMultilevel"/>
    <w:tmpl w:val="0B52B7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AB1E4924">
      <w:start w:val="15"/>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307F18"/>
    <w:multiLevelType w:val="hybridMultilevel"/>
    <w:tmpl w:val="C46A8910"/>
    <w:numStyleLink w:val="Bullets"/>
  </w:abstractNum>
  <w:abstractNum w:abstractNumId="29">
    <w:nsid w:val="5CB13F84"/>
    <w:multiLevelType w:val="hybridMultilevel"/>
    <w:tmpl w:val="B66A87AE"/>
    <w:numStyleLink w:val="ImportedStyle5"/>
  </w:abstractNum>
  <w:abstractNum w:abstractNumId="30">
    <w:nsid w:val="61D45A18"/>
    <w:multiLevelType w:val="hybridMultilevel"/>
    <w:tmpl w:val="0DA862B6"/>
    <w:lvl w:ilvl="0" w:tplc="A956E266">
      <w:start w:val="2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1">
    <w:nsid w:val="66702D99"/>
    <w:multiLevelType w:val="hybridMultilevel"/>
    <w:tmpl w:val="00A4E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F76A85"/>
    <w:multiLevelType w:val="hybridMultilevel"/>
    <w:tmpl w:val="099CEA46"/>
    <w:lvl w:ilvl="0" w:tplc="D0F61794">
      <w:start w:val="25"/>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6882064A"/>
    <w:multiLevelType w:val="hybridMultilevel"/>
    <w:tmpl w:val="6A6407A0"/>
    <w:lvl w:ilvl="0" w:tplc="B758278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6AA80F74"/>
    <w:multiLevelType w:val="hybridMultilevel"/>
    <w:tmpl w:val="2C3A13AC"/>
    <w:lvl w:ilvl="0" w:tplc="BDB68DB0">
      <w:start w:val="1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5">
    <w:nsid w:val="6ABC0903"/>
    <w:multiLevelType w:val="hybridMultilevel"/>
    <w:tmpl w:val="E5BE2636"/>
    <w:lvl w:ilvl="0" w:tplc="ED8CA0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158050F"/>
    <w:multiLevelType w:val="hybridMultilevel"/>
    <w:tmpl w:val="821CF146"/>
    <w:lvl w:ilvl="0" w:tplc="72D0F45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nsid w:val="73B12C44"/>
    <w:multiLevelType w:val="hybridMultilevel"/>
    <w:tmpl w:val="4AEA6268"/>
    <w:lvl w:ilvl="0" w:tplc="62A858DC">
      <w:start w:val="6"/>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73F95952"/>
    <w:multiLevelType w:val="hybridMultilevel"/>
    <w:tmpl w:val="EEAAB856"/>
    <w:lvl w:ilvl="0" w:tplc="764A518C">
      <w:start w:val="1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nsid w:val="78924947"/>
    <w:multiLevelType w:val="singleLevel"/>
    <w:tmpl w:val="CC2668A4"/>
    <w:lvl w:ilvl="0">
      <w:start w:val="1"/>
      <w:numFmt w:val="bullet"/>
      <w:lvlText w:val=""/>
      <w:lvlJc w:val="left"/>
      <w:pPr>
        <w:tabs>
          <w:tab w:val="num" w:pos="720"/>
        </w:tabs>
        <w:ind w:left="720" w:hanging="720"/>
      </w:pPr>
      <w:rPr>
        <w:rFonts w:ascii="Symbol" w:hAnsi="Symbol" w:hint="default"/>
      </w:rPr>
    </w:lvl>
  </w:abstractNum>
  <w:abstractNum w:abstractNumId="40">
    <w:nsid w:val="7CA3547C"/>
    <w:multiLevelType w:val="hybridMultilevel"/>
    <w:tmpl w:val="17AA154C"/>
    <w:lvl w:ilvl="0" w:tplc="E258D404">
      <w:start w:val="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39"/>
  </w:num>
  <w:num w:numId="2">
    <w:abstractNumId w:val="39"/>
  </w:num>
  <w:num w:numId="3">
    <w:abstractNumId w:val="39"/>
  </w:num>
  <w:num w:numId="4">
    <w:abstractNumId w:val="39"/>
  </w:num>
  <w:num w:numId="5">
    <w:abstractNumId w:val="39"/>
  </w:num>
  <w:num w:numId="6">
    <w:abstractNumId w:val="39"/>
  </w:num>
  <w:num w:numId="7">
    <w:abstractNumId w:val="39"/>
  </w:num>
  <w:num w:numId="8">
    <w:abstractNumId w:val="15"/>
  </w:num>
  <w:num w:numId="9">
    <w:abstractNumId w:val="26"/>
  </w:num>
  <w:num w:numId="10">
    <w:abstractNumId w:val="1"/>
  </w:num>
  <w:num w:numId="11">
    <w:abstractNumId w:val="19"/>
  </w:num>
  <w:num w:numId="12">
    <w:abstractNumId w:val="35"/>
  </w:num>
  <w:num w:numId="13">
    <w:abstractNumId w:val="6"/>
  </w:num>
  <w:num w:numId="14">
    <w:abstractNumId w:val="21"/>
  </w:num>
  <w:num w:numId="15">
    <w:abstractNumId w:val="27"/>
  </w:num>
  <w:num w:numId="16">
    <w:abstractNumId w:val="23"/>
  </w:num>
  <w:num w:numId="17">
    <w:abstractNumId w:val="17"/>
  </w:num>
  <w:num w:numId="18">
    <w:abstractNumId w:val="3"/>
  </w:num>
  <w:num w:numId="19">
    <w:abstractNumId w:val="18"/>
  </w:num>
  <w:num w:numId="20">
    <w:abstractNumId w:val="24"/>
  </w:num>
  <w:num w:numId="21">
    <w:abstractNumId w:val="14"/>
  </w:num>
  <w:num w:numId="22">
    <w:abstractNumId w:val="38"/>
  </w:num>
  <w:num w:numId="23">
    <w:abstractNumId w:val="34"/>
  </w:num>
  <w:num w:numId="24">
    <w:abstractNumId w:val="5"/>
  </w:num>
  <w:num w:numId="25">
    <w:abstractNumId w:val="30"/>
  </w:num>
  <w:num w:numId="26">
    <w:abstractNumId w:val="31"/>
  </w:num>
  <w:num w:numId="27">
    <w:abstractNumId w:val="36"/>
  </w:num>
  <w:num w:numId="28">
    <w:abstractNumId w:val="7"/>
  </w:num>
  <w:num w:numId="29">
    <w:abstractNumId w:val="13"/>
  </w:num>
  <w:num w:numId="30">
    <w:abstractNumId w:val="9"/>
  </w:num>
  <w:num w:numId="31">
    <w:abstractNumId w:val="11"/>
  </w:num>
  <w:num w:numId="32">
    <w:abstractNumId w:val="25"/>
  </w:num>
  <w:num w:numId="33">
    <w:abstractNumId w:val="4"/>
  </w:num>
  <w:num w:numId="34">
    <w:abstractNumId w:val="28"/>
    <w:lvlOverride w:ilvl="0">
      <w:lvl w:ilvl="0" w:tplc="59BE2A04">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7A85142">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7F0E58A">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F0C23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4C4B4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F89E0A">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6106E56">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2E55FA">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42DBCA">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0"/>
  </w:num>
  <w:num w:numId="36">
    <w:abstractNumId w:val="33"/>
  </w:num>
  <w:num w:numId="37">
    <w:abstractNumId w:val="20"/>
  </w:num>
  <w:num w:numId="38">
    <w:abstractNumId w:val="29"/>
    <w:lvlOverride w:ilvl="0">
      <w:lvl w:ilvl="0" w:tplc="12685BE2">
        <w:start w:val="1"/>
        <w:numFmt w:val="bullet"/>
        <w:lvlText w:val="&gt;"/>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1EFF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E8441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EE12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0D0A1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0CE1D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9462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3612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39A5F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9">
    <w:abstractNumId w:val="22"/>
  </w:num>
  <w:num w:numId="40">
    <w:abstractNumId w:val="2"/>
  </w:num>
  <w:num w:numId="41">
    <w:abstractNumId w:val="8"/>
  </w:num>
  <w:num w:numId="42">
    <w:abstractNumId w:val="12"/>
  </w:num>
  <w:num w:numId="43">
    <w:abstractNumId w:val="37"/>
  </w:num>
  <w:num w:numId="44">
    <w:abstractNumId w:val="40"/>
  </w:num>
  <w:num w:numId="45">
    <w:abstractNumId w:val="16"/>
  </w:num>
  <w:num w:numId="46">
    <w:abstractNumId w:val="3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42"/>
    <w:rsid w:val="00042AB1"/>
    <w:rsid w:val="000446E7"/>
    <w:rsid w:val="00095376"/>
    <w:rsid w:val="000A0BF7"/>
    <w:rsid w:val="000B4808"/>
    <w:rsid w:val="000C09F4"/>
    <w:rsid w:val="000D2DC8"/>
    <w:rsid w:val="000D4BAB"/>
    <w:rsid w:val="001020D8"/>
    <w:rsid w:val="00121D17"/>
    <w:rsid w:val="0012293C"/>
    <w:rsid w:val="001965BA"/>
    <w:rsid w:val="00196C1C"/>
    <w:rsid w:val="001A313F"/>
    <w:rsid w:val="001A6B8E"/>
    <w:rsid w:val="001C2E3B"/>
    <w:rsid w:val="001E610D"/>
    <w:rsid w:val="002003F3"/>
    <w:rsid w:val="00213C46"/>
    <w:rsid w:val="00224811"/>
    <w:rsid w:val="00232F01"/>
    <w:rsid w:val="00241FCD"/>
    <w:rsid w:val="0024670C"/>
    <w:rsid w:val="0024794B"/>
    <w:rsid w:val="002615A6"/>
    <w:rsid w:val="002A71DB"/>
    <w:rsid w:val="002B20B3"/>
    <w:rsid w:val="002C1418"/>
    <w:rsid w:val="003012BB"/>
    <w:rsid w:val="00324797"/>
    <w:rsid w:val="00385CED"/>
    <w:rsid w:val="00387397"/>
    <w:rsid w:val="00393137"/>
    <w:rsid w:val="003A486D"/>
    <w:rsid w:val="003B29EE"/>
    <w:rsid w:val="003B5E6A"/>
    <w:rsid w:val="003C012C"/>
    <w:rsid w:val="003C60CA"/>
    <w:rsid w:val="003D11D1"/>
    <w:rsid w:val="003E0242"/>
    <w:rsid w:val="003E675A"/>
    <w:rsid w:val="00435772"/>
    <w:rsid w:val="004449CE"/>
    <w:rsid w:val="00466E29"/>
    <w:rsid w:val="00495590"/>
    <w:rsid w:val="00497F12"/>
    <w:rsid w:val="004C51EF"/>
    <w:rsid w:val="004D685E"/>
    <w:rsid w:val="004D78AF"/>
    <w:rsid w:val="004E5E4E"/>
    <w:rsid w:val="00505315"/>
    <w:rsid w:val="005064B8"/>
    <w:rsid w:val="005245A2"/>
    <w:rsid w:val="005348F7"/>
    <w:rsid w:val="005401AA"/>
    <w:rsid w:val="00561E1E"/>
    <w:rsid w:val="00571F0F"/>
    <w:rsid w:val="005E2934"/>
    <w:rsid w:val="005F3F74"/>
    <w:rsid w:val="00620EB4"/>
    <w:rsid w:val="00643581"/>
    <w:rsid w:val="00644521"/>
    <w:rsid w:val="00654093"/>
    <w:rsid w:val="006619AE"/>
    <w:rsid w:val="00664045"/>
    <w:rsid w:val="00674F4F"/>
    <w:rsid w:val="006927B1"/>
    <w:rsid w:val="006A53C9"/>
    <w:rsid w:val="006C0AD5"/>
    <w:rsid w:val="00704F67"/>
    <w:rsid w:val="0072088E"/>
    <w:rsid w:val="00750E83"/>
    <w:rsid w:val="00751B54"/>
    <w:rsid w:val="00751E53"/>
    <w:rsid w:val="0075798D"/>
    <w:rsid w:val="00776451"/>
    <w:rsid w:val="00787E2C"/>
    <w:rsid w:val="00793CBB"/>
    <w:rsid w:val="007962F5"/>
    <w:rsid w:val="007A3588"/>
    <w:rsid w:val="007A49FD"/>
    <w:rsid w:val="007B31C3"/>
    <w:rsid w:val="007D1EA7"/>
    <w:rsid w:val="008049DF"/>
    <w:rsid w:val="00814975"/>
    <w:rsid w:val="008265BB"/>
    <w:rsid w:val="00836358"/>
    <w:rsid w:val="00860B27"/>
    <w:rsid w:val="00861A5A"/>
    <w:rsid w:val="00883CC9"/>
    <w:rsid w:val="008D05A1"/>
    <w:rsid w:val="008D6452"/>
    <w:rsid w:val="00902305"/>
    <w:rsid w:val="0090676E"/>
    <w:rsid w:val="009324E7"/>
    <w:rsid w:val="00935752"/>
    <w:rsid w:val="00946928"/>
    <w:rsid w:val="0099270B"/>
    <w:rsid w:val="00997A8C"/>
    <w:rsid w:val="009B0EFC"/>
    <w:rsid w:val="009B1E4A"/>
    <w:rsid w:val="009D635D"/>
    <w:rsid w:val="009F2E1E"/>
    <w:rsid w:val="00A149E0"/>
    <w:rsid w:val="00A30E47"/>
    <w:rsid w:val="00A551A8"/>
    <w:rsid w:val="00A55A0E"/>
    <w:rsid w:val="00A62E99"/>
    <w:rsid w:val="00A73C69"/>
    <w:rsid w:val="00AC2B80"/>
    <w:rsid w:val="00AC5571"/>
    <w:rsid w:val="00AD0A29"/>
    <w:rsid w:val="00AD1B67"/>
    <w:rsid w:val="00AF2B9A"/>
    <w:rsid w:val="00B03E54"/>
    <w:rsid w:val="00B1628B"/>
    <w:rsid w:val="00B620B4"/>
    <w:rsid w:val="00B65BCF"/>
    <w:rsid w:val="00B72191"/>
    <w:rsid w:val="00B72F78"/>
    <w:rsid w:val="00B74E15"/>
    <w:rsid w:val="00B918ED"/>
    <w:rsid w:val="00BD166B"/>
    <w:rsid w:val="00BF255E"/>
    <w:rsid w:val="00BF6350"/>
    <w:rsid w:val="00C04F7B"/>
    <w:rsid w:val="00CA08FF"/>
    <w:rsid w:val="00CA1AD8"/>
    <w:rsid w:val="00CA360C"/>
    <w:rsid w:val="00CC0C00"/>
    <w:rsid w:val="00CC4604"/>
    <w:rsid w:val="00CC7B72"/>
    <w:rsid w:val="00CD47B3"/>
    <w:rsid w:val="00D03760"/>
    <w:rsid w:val="00D149F5"/>
    <w:rsid w:val="00D44B8C"/>
    <w:rsid w:val="00D547F7"/>
    <w:rsid w:val="00DD2C24"/>
    <w:rsid w:val="00DE7082"/>
    <w:rsid w:val="00E22F36"/>
    <w:rsid w:val="00E52EC0"/>
    <w:rsid w:val="00E56661"/>
    <w:rsid w:val="00E75E38"/>
    <w:rsid w:val="00EA4564"/>
    <w:rsid w:val="00EC0E4B"/>
    <w:rsid w:val="00ED48E7"/>
    <w:rsid w:val="00F13F8E"/>
    <w:rsid w:val="00F24421"/>
    <w:rsid w:val="00F43696"/>
    <w:rsid w:val="00FF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9F4"/>
    <w:pPr>
      <w:jc w:val="both"/>
    </w:pPr>
    <w:rPr>
      <w:rFonts w:ascii="Arial" w:hAnsi="Arial"/>
      <w:color w:val="000080"/>
      <w:sz w:val="22"/>
      <w:lang w:eastAsia="en-US"/>
    </w:rPr>
  </w:style>
  <w:style w:type="paragraph" w:styleId="Heading1">
    <w:name w:val="heading 1"/>
    <w:basedOn w:val="HEADING-MIN"/>
    <w:next w:val="Normal"/>
    <w:qFormat/>
    <w:pPr>
      <w:keepNext/>
      <w:outlineLvl w:val="0"/>
    </w:pPr>
    <w:rPr>
      <w:kern w:val="28"/>
    </w:rPr>
  </w:style>
  <w:style w:type="paragraph" w:styleId="Heading2">
    <w:name w:val="heading 2"/>
    <w:basedOn w:val="Normal"/>
    <w:next w:val="Normal"/>
    <w:autoRedefine/>
    <w:qFormat/>
    <w:pPr>
      <w:keepNext/>
      <w:spacing w:after="240"/>
      <w:ind w:left="-720"/>
      <w:outlineLvl w:val="1"/>
    </w:pPr>
    <w:rPr>
      <w:rFonts w:ascii="Arial Bold" w:hAnsi="Arial Bold"/>
      <w:color w:val="008000"/>
      <w:sz w:val="26"/>
    </w:rPr>
  </w:style>
  <w:style w:type="paragraph" w:styleId="Heading3">
    <w:name w:val="heading 3"/>
    <w:basedOn w:val="Normal"/>
    <w:next w:val="Normal"/>
    <w:qFormat/>
    <w:pPr>
      <w:keepNext/>
      <w:spacing w:after="240"/>
      <w:outlineLvl w:val="2"/>
    </w:pPr>
    <w:rPr>
      <w:b/>
      <w:sz w:val="24"/>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IN">
    <w:name w:val="HEADING-MIN"/>
    <w:basedOn w:val="Normal"/>
    <w:next w:val="Normal"/>
    <w:pPr>
      <w:spacing w:after="240"/>
      <w:ind w:hanging="720"/>
    </w:pPr>
    <w:rPr>
      <w:b/>
      <w:color w:val="008000"/>
      <w:sz w:val="26"/>
    </w:rPr>
  </w:style>
  <w:style w:type="paragraph" w:customStyle="1" w:styleId="Res1">
    <w:name w:val="Res1"/>
    <w:basedOn w:val="Normal"/>
    <w:pPr>
      <w:tabs>
        <w:tab w:val="left" w:pos="0"/>
        <w:tab w:val="left" w:pos="720"/>
        <w:tab w:val="left" w:pos="1440"/>
        <w:tab w:val="left" w:pos="2160"/>
      </w:tabs>
      <w:spacing w:after="240"/>
      <w:ind w:left="2160" w:hanging="2160"/>
    </w:pPr>
    <w:rPr>
      <w:color w:val="0000FF"/>
    </w:rPr>
  </w:style>
  <w:style w:type="paragraph" w:customStyle="1" w:styleId="author-min">
    <w:name w:val="author-min"/>
    <w:basedOn w:val="Normal"/>
    <w:next w:val="ag-min-text"/>
    <w:pPr>
      <w:spacing w:after="240"/>
      <w:jc w:val="right"/>
    </w:pPr>
    <w:rPr>
      <w:i/>
      <w:sz w:val="20"/>
    </w:rPr>
  </w:style>
  <w:style w:type="paragraph" w:customStyle="1" w:styleId="ag-min-text">
    <w:name w:val="ag-min-text"/>
    <w:basedOn w:val="Normal"/>
    <w:pPr>
      <w:spacing w:after="240"/>
    </w:pPr>
  </w:style>
  <w:style w:type="paragraph" w:customStyle="1" w:styleId="res">
    <w:name w:val="res"/>
    <w:basedOn w:val="Res1"/>
    <w:pPr>
      <w:tabs>
        <w:tab w:val="clear" w:pos="2160"/>
      </w:tabs>
      <w:ind w:left="1440" w:hanging="1440"/>
    </w:pPr>
  </w:style>
  <w:style w:type="paragraph" w:customStyle="1" w:styleId="rec">
    <w:name w:val="rec"/>
    <w:basedOn w:val="res"/>
    <w:next w:val="author-min"/>
    <w:pPr>
      <w:ind w:left="0" w:firstLine="0"/>
    </w:pPr>
  </w:style>
  <w:style w:type="paragraph" w:styleId="TOC1">
    <w:name w:val="toc 1"/>
    <w:basedOn w:val="Normal"/>
    <w:next w:val="Normal"/>
    <w:autoRedefine/>
    <w:semiHidden/>
    <w:pPr>
      <w:tabs>
        <w:tab w:val="left" w:pos="440"/>
        <w:tab w:val="right" w:leader="dot" w:pos="8659"/>
      </w:tabs>
      <w:spacing w:before="120" w:after="120"/>
      <w:ind w:hanging="720"/>
      <w:jc w:val="left"/>
    </w:pPr>
    <w:rPr>
      <w:rFonts w:ascii="Arial Bold" w:hAnsi="Arial Bold"/>
      <w:b/>
      <w:color w:val="008000"/>
      <w:sz w:val="24"/>
    </w:rPr>
  </w:style>
  <w:style w:type="paragraph" w:customStyle="1" w:styleId="heading-de">
    <w:name w:val="heading-de"/>
    <w:basedOn w:val="Heading2"/>
    <w:pPr>
      <w:tabs>
        <w:tab w:val="left" w:pos="1530"/>
      </w:tabs>
      <w:spacing w:after="0"/>
      <w:ind w:left="1530" w:hanging="1530"/>
      <w:jc w:val="left"/>
    </w:pPr>
    <w:rPr>
      <w:rFonts w:cs="Arial"/>
      <w:b/>
      <w:bCs/>
      <w:sz w:val="22"/>
      <w:szCs w:val="28"/>
    </w:rPr>
  </w:style>
  <w:style w:type="paragraph" w:customStyle="1" w:styleId="box-heading">
    <w:name w:val="box-heading"/>
    <w:basedOn w:val="Normal"/>
    <w:rPr>
      <w:rFonts w:ascii="Arial Bold" w:hAnsi="Arial Bold"/>
      <w:b/>
    </w:rPr>
  </w:style>
  <w:style w:type="paragraph" w:styleId="BodyText2">
    <w:name w:val="Body Text 2"/>
    <w:basedOn w:val="Normal"/>
    <w:rPr>
      <w:sz w:val="20"/>
      <w:lang w:val="en-US"/>
    </w:rPr>
  </w:style>
  <w:style w:type="paragraph" w:styleId="BodyText3">
    <w:name w:val="Body Text 3"/>
    <w:basedOn w:val="Normal"/>
    <w:rPr>
      <w:i/>
      <w:iCs/>
    </w:rPr>
  </w:style>
  <w:style w:type="table" w:styleId="TableGrid">
    <w:name w:val="Table Grid"/>
    <w:basedOn w:val="TableNormal"/>
    <w:rsid w:val="002C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5E6A"/>
    <w:pPr>
      <w:tabs>
        <w:tab w:val="center" w:pos="4513"/>
        <w:tab w:val="right" w:pos="9026"/>
      </w:tabs>
    </w:pPr>
  </w:style>
  <w:style w:type="character" w:customStyle="1" w:styleId="HeaderChar">
    <w:name w:val="Header Char"/>
    <w:link w:val="Header"/>
    <w:rsid w:val="003B5E6A"/>
    <w:rPr>
      <w:rFonts w:ascii="Arial" w:hAnsi="Arial"/>
      <w:color w:val="000080"/>
      <w:sz w:val="22"/>
      <w:lang w:eastAsia="en-US"/>
    </w:rPr>
  </w:style>
  <w:style w:type="paragraph" w:styleId="Footer">
    <w:name w:val="footer"/>
    <w:basedOn w:val="Normal"/>
    <w:link w:val="FooterChar"/>
    <w:uiPriority w:val="99"/>
    <w:rsid w:val="003B5E6A"/>
    <w:pPr>
      <w:tabs>
        <w:tab w:val="center" w:pos="4513"/>
        <w:tab w:val="right" w:pos="9026"/>
      </w:tabs>
    </w:pPr>
  </w:style>
  <w:style w:type="character" w:customStyle="1" w:styleId="FooterChar">
    <w:name w:val="Footer Char"/>
    <w:link w:val="Footer"/>
    <w:uiPriority w:val="99"/>
    <w:rsid w:val="003B5E6A"/>
    <w:rPr>
      <w:rFonts w:ascii="Arial" w:hAnsi="Arial"/>
      <w:color w:val="000080"/>
      <w:sz w:val="22"/>
      <w:lang w:eastAsia="en-US"/>
    </w:rPr>
  </w:style>
  <w:style w:type="paragraph" w:styleId="BalloonText">
    <w:name w:val="Balloon Text"/>
    <w:basedOn w:val="Normal"/>
    <w:link w:val="BalloonTextChar"/>
    <w:rsid w:val="003B5E6A"/>
    <w:rPr>
      <w:rFonts w:ascii="Tahoma" w:hAnsi="Tahoma" w:cs="Tahoma"/>
      <w:sz w:val="16"/>
      <w:szCs w:val="16"/>
    </w:rPr>
  </w:style>
  <w:style w:type="character" w:customStyle="1" w:styleId="BalloonTextChar">
    <w:name w:val="Balloon Text Char"/>
    <w:link w:val="BalloonText"/>
    <w:rsid w:val="003B5E6A"/>
    <w:rPr>
      <w:rFonts w:ascii="Tahoma" w:hAnsi="Tahoma" w:cs="Tahoma"/>
      <w:color w:val="000080"/>
      <w:sz w:val="16"/>
      <w:szCs w:val="16"/>
      <w:lang w:eastAsia="en-US"/>
    </w:rPr>
  </w:style>
  <w:style w:type="paragraph" w:styleId="ListParagraph">
    <w:name w:val="List Paragraph"/>
    <w:basedOn w:val="Normal"/>
    <w:uiPriority w:val="34"/>
    <w:qFormat/>
    <w:rsid w:val="007B31C3"/>
    <w:pPr>
      <w:ind w:left="720"/>
      <w:contextualSpacing/>
    </w:pPr>
  </w:style>
  <w:style w:type="table" w:customStyle="1" w:styleId="TableGrid1">
    <w:name w:val="Table Grid1"/>
    <w:basedOn w:val="TableNormal"/>
    <w:next w:val="TableGrid"/>
    <w:rsid w:val="00AF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12C"/>
    <w:rPr>
      <w:color w:val="0000FF"/>
      <w:u w:val="single"/>
    </w:rPr>
  </w:style>
  <w:style w:type="paragraph" w:customStyle="1" w:styleId="BodyA">
    <w:name w:val="Body A"/>
    <w:rsid w:val="0075798D"/>
    <w:pPr>
      <w:pBdr>
        <w:top w:val="nil"/>
        <w:left w:val="nil"/>
        <w:bottom w:val="nil"/>
        <w:right w:val="nil"/>
        <w:between w:val="nil"/>
        <w:bar w:val="nil"/>
      </w:pBdr>
      <w:suppressAutoHyphens/>
    </w:pPr>
    <w:rPr>
      <w:rFonts w:ascii="Helvetica" w:eastAsia="Helvetica" w:hAnsi="Helvetica" w:cs="Helvetica"/>
      <w:color w:val="000000"/>
      <w:sz w:val="22"/>
      <w:szCs w:val="22"/>
      <w:u w:color="000000"/>
      <w:bdr w:val="nil"/>
      <w:lang w:val="en-US"/>
    </w:rPr>
  </w:style>
  <w:style w:type="numbering" w:customStyle="1" w:styleId="Numbered">
    <w:name w:val="Numbered"/>
    <w:rsid w:val="0075798D"/>
    <w:pPr>
      <w:numPr>
        <w:numId w:val="28"/>
      </w:numPr>
    </w:pPr>
  </w:style>
  <w:style w:type="paragraph" w:customStyle="1" w:styleId="Default">
    <w:name w:val="Default"/>
    <w:rsid w:val="007A49F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7A49FD"/>
    <w:pPr>
      <w:numPr>
        <w:numId w:val="31"/>
      </w:numPr>
    </w:pPr>
  </w:style>
  <w:style w:type="numbering" w:customStyle="1" w:styleId="Bullets">
    <w:name w:val="Bullets"/>
    <w:rsid w:val="007A49FD"/>
    <w:pPr>
      <w:numPr>
        <w:numId w:val="33"/>
      </w:numPr>
    </w:pPr>
  </w:style>
  <w:style w:type="paragraph" w:styleId="NoSpacing">
    <w:name w:val="No Spacing"/>
    <w:rsid w:val="007A49FD"/>
    <w:pPr>
      <w:pBdr>
        <w:top w:val="nil"/>
        <w:left w:val="nil"/>
        <w:bottom w:val="nil"/>
        <w:right w:val="nil"/>
        <w:between w:val="nil"/>
        <w:bar w:val="nil"/>
      </w:pBdr>
      <w:suppressAutoHyphens/>
    </w:pPr>
    <w:rPr>
      <w:rFonts w:ascii="Helvetica" w:eastAsia="Arial Unicode MS" w:hAnsi="Helvetica" w:cs="Arial Unicode MS"/>
      <w:color w:val="000000"/>
      <w:sz w:val="24"/>
      <w:szCs w:val="24"/>
      <w:u w:color="000000"/>
      <w:bdr w:val="nil"/>
      <w:lang w:val="en-US"/>
    </w:rPr>
  </w:style>
  <w:style w:type="numbering" w:customStyle="1" w:styleId="ImportedStyle5">
    <w:name w:val="Imported Style 5"/>
    <w:rsid w:val="002A71DB"/>
    <w:pPr>
      <w:numPr>
        <w:numId w:val="37"/>
      </w:numPr>
    </w:pPr>
  </w:style>
  <w:style w:type="paragraph" w:customStyle="1" w:styleId="PolicyText">
    <w:name w:val="Policy Text"/>
    <w:rsid w:val="002A71DB"/>
    <w:pPr>
      <w:pBdr>
        <w:top w:val="nil"/>
        <w:left w:val="nil"/>
        <w:bottom w:val="nil"/>
        <w:right w:val="nil"/>
        <w:between w:val="nil"/>
        <w:bar w:val="nil"/>
      </w:pBdr>
      <w:suppressAutoHyphens/>
      <w:ind w:left="34"/>
    </w:pPr>
    <w:rPr>
      <w:rFonts w:ascii="Helvetica" w:eastAsia="Arial Unicode MS" w:hAnsi="Helvetica" w:cs="Arial Unicode MS"/>
      <w:bCs/>
      <w:color w:val="1F4F69"/>
      <w:sz w:val="24"/>
      <w:szCs w:val="24"/>
      <w:u w:color="1F4F69"/>
      <w:bdr w:val="nil"/>
      <w:lang w:val="en-US"/>
    </w:rPr>
  </w:style>
  <w:style w:type="paragraph" w:styleId="NormalWeb">
    <w:name w:val="Normal (Web)"/>
    <w:basedOn w:val="Normal"/>
    <w:uiPriority w:val="99"/>
    <w:unhideWhenUsed/>
    <w:rsid w:val="0090676E"/>
    <w:pPr>
      <w:spacing w:before="100" w:beforeAutospacing="1" w:after="100" w:afterAutospacing="1"/>
      <w:jc w:val="left"/>
    </w:pPr>
    <w:rPr>
      <w:rFonts w:ascii="Times New Roman" w:hAnsi="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9F4"/>
    <w:pPr>
      <w:jc w:val="both"/>
    </w:pPr>
    <w:rPr>
      <w:rFonts w:ascii="Arial" w:hAnsi="Arial"/>
      <w:color w:val="000080"/>
      <w:sz w:val="22"/>
      <w:lang w:eastAsia="en-US"/>
    </w:rPr>
  </w:style>
  <w:style w:type="paragraph" w:styleId="Heading1">
    <w:name w:val="heading 1"/>
    <w:basedOn w:val="HEADING-MIN"/>
    <w:next w:val="Normal"/>
    <w:qFormat/>
    <w:pPr>
      <w:keepNext/>
      <w:outlineLvl w:val="0"/>
    </w:pPr>
    <w:rPr>
      <w:kern w:val="28"/>
    </w:rPr>
  </w:style>
  <w:style w:type="paragraph" w:styleId="Heading2">
    <w:name w:val="heading 2"/>
    <w:basedOn w:val="Normal"/>
    <w:next w:val="Normal"/>
    <w:autoRedefine/>
    <w:qFormat/>
    <w:pPr>
      <w:keepNext/>
      <w:spacing w:after="240"/>
      <w:ind w:left="-720"/>
      <w:outlineLvl w:val="1"/>
    </w:pPr>
    <w:rPr>
      <w:rFonts w:ascii="Arial Bold" w:hAnsi="Arial Bold"/>
      <w:color w:val="008000"/>
      <w:sz w:val="26"/>
    </w:rPr>
  </w:style>
  <w:style w:type="paragraph" w:styleId="Heading3">
    <w:name w:val="heading 3"/>
    <w:basedOn w:val="Normal"/>
    <w:next w:val="Normal"/>
    <w:qFormat/>
    <w:pPr>
      <w:keepNext/>
      <w:spacing w:after="240"/>
      <w:outlineLvl w:val="2"/>
    </w:pPr>
    <w:rPr>
      <w:b/>
      <w:sz w:val="24"/>
    </w:rPr>
  </w:style>
  <w:style w:type="paragraph" w:styleId="Heading4">
    <w:name w:val="heading 4"/>
    <w:basedOn w:val="Normal"/>
    <w:next w:val="Normal"/>
    <w:qFormat/>
    <w:pPr>
      <w:keepNext/>
      <w:outlineLvl w:val="3"/>
    </w:pPr>
    <w:rPr>
      <w:b/>
      <w:bCs/>
      <w:sz w:val="18"/>
    </w:rPr>
  </w:style>
  <w:style w:type="paragraph" w:styleId="Heading5">
    <w:name w:val="heading 5"/>
    <w:basedOn w:val="Normal"/>
    <w:next w:val="Normal"/>
    <w:qFormat/>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IN">
    <w:name w:val="HEADING-MIN"/>
    <w:basedOn w:val="Normal"/>
    <w:next w:val="Normal"/>
    <w:pPr>
      <w:spacing w:after="240"/>
      <w:ind w:hanging="720"/>
    </w:pPr>
    <w:rPr>
      <w:b/>
      <w:color w:val="008000"/>
      <w:sz w:val="26"/>
    </w:rPr>
  </w:style>
  <w:style w:type="paragraph" w:customStyle="1" w:styleId="Res1">
    <w:name w:val="Res1"/>
    <w:basedOn w:val="Normal"/>
    <w:pPr>
      <w:tabs>
        <w:tab w:val="left" w:pos="0"/>
        <w:tab w:val="left" w:pos="720"/>
        <w:tab w:val="left" w:pos="1440"/>
        <w:tab w:val="left" w:pos="2160"/>
      </w:tabs>
      <w:spacing w:after="240"/>
      <w:ind w:left="2160" w:hanging="2160"/>
    </w:pPr>
    <w:rPr>
      <w:color w:val="0000FF"/>
    </w:rPr>
  </w:style>
  <w:style w:type="paragraph" w:customStyle="1" w:styleId="author-min">
    <w:name w:val="author-min"/>
    <w:basedOn w:val="Normal"/>
    <w:next w:val="ag-min-text"/>
    <w:pPr>
      <w:spacing w:after="240"/>
      <w:jc w:val="right"/>
    </w:pPr>
    <w:rPr>
      <w:i/>
      <w:sz w:val="20"/>
    </w:rPr>
  </w:style>
  <w:style w:type="paragraph" w:customStyle="1" w:styleId="ag-min-text">
    <w:name w:val="ag-min-text"/>
    <w:basedOn w:val="Normal"/>
    <w:pPr>
      <w:spacing w:after="240"/>
    </w:pPr>
  </w:style>
  <w:style w:type="paragraph" w:customStyle="1" w:styleId="res">
    <w:name w:val="res"/>
    <w:basedOn w:val="Res1"/>
    <w:pPr>
      <w:tabs>
        <w:tab w:val="clear" w:pos="2160"/>
      </w:tabs>
      <w:ind w:left="1440" w:hanging="1440"/>
    </w:pPr>
  </w:style>
  <w:style w:type="paragraph" w:customStyle="1" w:styleId="rec">
    <w:name w:val="rec"/>
    <w:basedOn w:val="res"/>
    <w:next w:val="author-min"/>
    <w:pPr>
      <w:ind w:left="0" w:firstLine="0"/>
    </w:pPr>
  </w:style>
  <w:style w:type="paragraph" w:styleId="TOC1">
    <w:name w:val="toc 1"/>
    <w:basedOn w:val="Normal"/>
    <w:next w:val="Normal"/>
    <w:autoRedefine/>
    <w:semiHidden/>
    <w:pPr>
      <w:tabs>
        <w:tab w:val="left" w:pos="440"/>
        <w:tab w:val="right" w:leader="dot" w:pos="8659"/>
      </w:tabs>
      <w:spacing w:before="120" w:after="120"/>
      <w:ind w:hanging="720"/>
      <w:jc w:val="left"/>
    </w:pPr>
    <w:rPr>
      <w:rFonts w:ascii="Arial Bold" w:hAnsi="Arial Bold"/>
      <w:b/>
      <w:color w:val="008000"/>
      <w:sz w:val="24"/>
    </w:rPr>
  </w:style>
  <w:style w:type="paragraph" w:customStyle="1" w:styleId="heading-de">
    <w:name w:val="heading-de"/>
    <w:basedOn w:val="Heading2"/>
    <w:pPr>
      <w:tabs>
        <w:tab w:val="left" w:pos="1530"/>
      </w:tabs>
      <w:spacing w:after="0"/>
      <w:ind w:left="1530" w:hanging="1530"/>
      <w:jc w:val="left"/>
    </w:pPr>
    <w:rPr>
      <w:rFonts w:cs="Arial"/>
      <w:b/>
      <w:bCs/>
      <w:sz w:val="22"/>
      <w:szCs w:val="28"/>
    </w:rPr>
  </w:style>
  <w:style w:type="paragraph" w:customStyle="1" w:styleId="box-heading">
    <w:name w:val="box-heading"/>
    <w:basedOn w:val="Normal"/>
    <w:rPr>
      <w:rFonts w:ascii="Arial Bold" w:hAnsi="Arial Bold"/>
      <w:b/>
    </w:rPr>
  </w:style>
  <w:style w:type="paragraph" w:styleId="BodyText2">
    <w:name w:val="Body Text 2"/>
    <w:basedOn w:val="Normal"/>
    <w:rPr>
      <w:sz w:val="20"/>
      <w:lang w:val="en-US"/>
    </w:rPr>
  </w:style>
  <w:style w:type="paragraph" w:styleId="BodyText3">
    <w:name w:val="Body Text 3"/>
    <w:basedOn w:val="Normal"/>
    <w:rPr>
      <w:i/>
      <w:iCs/>
    </w:rPr>
  </w:style>
  <w:style w:type="table" w:styleId="TableGrid">
    <w:name w:val="Table Grid"/>
    <w:basedOn w:val="TableNormal"/>
    <w:rsid w:val="002C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5E6A"/>
    <w:pPr>
      <w:tabs>
        <w:tab w:val="center" w:pos="4513"/>
        <w:tab w:val="right" w:pos="9026"/>
      </w:tabs>
    </w:pPr>
  </w:style>
  <w:style w:type="character" w:customStyle="1" w:styleId="HeaderChar">
    <w:name w:val="Header Char"/>
    <w:link w:val="Header"/>
    <w:rsid w:val="003B5E6A"/>
    <w:rPr>
      <w:rFonts w:ascii="Arial" w:hAnsi="Arial"/>
      <w:color w:val="000080"/>
      <w:sz w:val="22"/>
      <w:lang w:eastAsia="en-US"/>
    </w:rPr>
  </w:style>
  <w:style w:type="paragraph" w:styleId="Footer">
    <w:name w:val="footer"/>
    <w:basedOn w:val="Normal"/>
    <w:link w:val="FooterChar"/>
    <w:uiPriority w:val="99"/>
    <w:rsid w:val="003B5E6A"/>
    <w:pPr>
      <w:tabs>
        <w:tab w:val="center" w:pos="4513"/>
        <w:tab w:val="right" w:pos="9026"/>
      </w:tabs>
    </w:pPr>
  </w:style>
  <w:style w:type="character" w:customStyle="1" w:styleId="FooterChar">
    <w:name w:val="Footer Char"/>
    <w:link w:val="Footer"/>
    <w:uiPriority w:val="99"/>
    <w:rsid w:val="003B5E6A"/>
    <w:rPr>
      <w:rFonts w:ascii="Arial" w:hAnsi="Arial"/>
      <w:color w:val="000080"/>
      <w:sz w:val="22"/>
      <w:lang w:eastAsia="en-US"/>
    </w:rPr>
  </w:style>
  <w:style w:type="paragraph" w:styleId="BalloonText">
    <w:name w:val="Balloon Text"/>
    <w:basedOn w:val="Normal"/>
    <w:link w:val="BalloonTextChar"/>
    <w:rsid w:val="003B5E6A"/>
    <w:rPr>
      <w:rFonts w:ascii="Tahoma" w:hAnsi="Tahoma" w:cs="Tahoma"/>
      <w:sz w:val="16"/>
      <w:szCs w:val="16"/>
    </w:rPr>
  </w:style>
  <w:style w:type="character" w:customStyle="1" w:styleId="BalloonTextChar">
    <w:name w:val="Balloon Text Char"/>
    <w:link w:val="BalloonText"/>
    <w:rsid w:val="003B5E6A"/>
    <w:rPr>
      <w:rFonts w:ascii="Tahoma" w:hAnsi="Tahoma" w:cs="Tahoma"/>
      <w:color w:val="000080"/>
      <w:sz w:val="16"/>
      <w:szCs w:val="16"/>
      <w:lang w:eastAsia="en-US"/>
    </w:rPr>
  </w:style>
  <w:style w:type="paragraph" w:styleId="ListParagraph">
    <w:name w:val="List Paragraph"/>
    <w:basedOn w:val="Normal"/>
    <w:uiPriority w:val="34"/>
    <w:qFormat/>
    <w:rsid w:val="007B31C3"/>
    <w:pPr>
      <w:ind w:left="720"/>
      <w:contextualSpacing/>
    </w:pPr>
  </w:style>
  <w:style w:type="table" w:customStyle="1" w:styleId="TableGrid1">
    <w:name w:val="Table Grid1"/>
    <w:basedOn w:val="TableNormal"/>
    <w:next w:val="TableGrid"/>
    <w:rsid w:val="00AF2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12C"/>
    <w:rPr>
      <w:color w:val="0000FF"/>
      <w:u w:val="single"/>
    </w:rPr>
  </w:style>
  <w:style w:type="paragraph" w:customStyle="1" w:styleId="BodyA">
    <w:name w:val="Body A"/>
    <w:rsid w:val="0075798D"/>
    <w:pPr>
      <w:pBdr>
        <w:top w:val="nil"/>
        <w:left w:val="nil"/>
        <w:bottom w:val="nil"/>
        <w:right w:val="nil"/>
        <w:between w:val="nil"/>
        <w:bar w:val="nil"/>
      </w:pBdr>
      <w:suppressAutoHyphens/>
    </w:pPr>
    <w:rPr>
      <w:rFonts w:ascii="Helvetica" w:eastAsia="Helvetica" w:hAnsi="Helvetica" w:cs="Helvetica"/>
      <w:color w:val="000000"/>
      <w:sz w:val="22"/>
      <w:szCs w:val="22"/>
      <w:u w:color="000000"/>
      <w:bdr w:val="nil"/>
      <w:lang w:val="en-US"/>
    </w:rPr>
  </w:style>
  <w:style w:type="numbering" w:customStyle="1" w:styleId="Numbered">
    <w:name w:val="Numbered"/>
    <w:rsid w:val="0075798D"/>
    <w:pPr>
      <w:numPr>
        <w:numId w:val="28"/>
      </w:numPr>
    </w:pPr>
  </w:style>
  <w:style w:type="paragraph" w:customStyle="1" w:styleId="Default">
    <w:name w:val="Default"/>
    <w:rsid w:val="007A49F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7A49FD"/>
    <w:pPr>
      <w:numPr>
        <w:numId w:val="31"/>
      </w:numPr>
    </w:pPr>
  </w:style>
  <w:style w:type="numbering" w:customStyle="1" w:styleId="Bullets">
    <w:name w:val="Bullets"/>
    <w:rsid w:val="007A49FD"/>
    <w:pPr>
      <w:numPr>
        <w:numId w:val="33"/>
      </w:numPr>
    </w:pPr>
  </w:style>
  <w:style w:type="paragraph" w:styleId="NoSpacing">
    <w:name w:val="No Spacing"/>
    <w:rsid w:val="007A49FD"/>
    <w:pPr>
      <w:pBdr>
        <w:top w:val="nil"/>
        <w:left w:val="nil"/>
        <w:bottom w:val="nil"/>
        <w:right w:val="nil"/>
        <w:between w:val="nil"/>
        <w:bar w:val="nil"/>
      </w:pBdr>
      <w:suppressAutoHyphens/>
    </w:pPr>
    <w:rPr>
      <w:rFonts w:ascii="Helvetica" w:eastAsia="Arial Unicode MS" w:hAnsi="Helvetica" w:cs="Arial Unicode MS"/>
      <w:color w:val="000000"/>
      <w:sz w:val="24"/>
      <w:szCs w:val="24"/>
      <w:u w:color="000000"/>
      <w:bdr w:val="nil"/>
      <w:lang w:val="en-US"/>
    </w:rPr>
  </w:style>
  <w:style w:type="numbering" w:customStyle="1" w:styleId="ImportedStyle5">
    <w:name w:val="Imported Style 5"/>
    <w:rsid w:val="002A71DB"/>
    <w:pPr>
      <w:numPr>
        <w:numId w:val="37"/>
      </w:numPr>
    </w:pPr>
  </w:style>
  <w:style w:type="paragraph" w:customStyle="1" w:styleId="PolicyText">
    <w:name w:val="Policy Text"/>
    <w:rsid w:val="002A71DB"/>
    <w:pPr>
      <w:pBdr>
        <w:top w:val="nil"/>
        <w:left w:val="nil"/>
        <w:bottom w:val="nil"/>
        <w:right w:val="nil"/>
        <w:between w:val="nil"/>
        <w:bar w:val="nil"/>
      </w:pBdr>
      <w:suppressAutoHyphens/>
      <w:ind w:left="34"/>
    </w:pPr>
    <w:rPr>
      <w:rFonts w:ascii="Helvetica" w:eastAsia="Arial Unicode MS" w:hAnsi="Helvetica" w:cs="Arial Unicode MS"/>
      <w:bCs/>
      <w:color w:val="1F4F69"/>
      <w:sz w:val="24"/>
      <w:szCs w:val="24"/>
      <w:u w:color="1F4F69"/>
      <w:bdr w:val="nil"/>
      <w:lang w:val="en-US"/>
    </w:rPr>
  </w:style>
  <w:style w:type="paragraph" w:styleId="NormalWeb">
    <w:name w:val="Normal (Web)"/>
    <w:basedOn w:val="Normal"/>
    <w:uiPriority w:val="99"/>
    <w:unhideWhenUsed/>
    <w:rsid w:val="0090676E"/>
    <w:pPr>
      <w:spacing w:before="100" w:beforeAutospacing="1" w:after="100" w:afterAutospacing="1"/>
      <w:jc w:val="left"/>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675138">
      <w:bodyDiv w:val="1"/>
      <w:marLeft w:val="0"/>
      <w:marRight w:val="0"/>
      <w:marTop w:val="0"/>
      <w:marBottom w:val="0"/>
      <w:divBdr>
        <w:top w:val="none" w:sz="0" w:space="0" w:color="auto"/>
        <w:left w:val="none" w:sz="0" w:space="0" w:color="auto"/>
        <w:bottom w:val="none" w:sz="0" w:space="0" w:color="auto"/>
        <w:right w:val="none" w:sz="0" w:space="0" w:color="auto"/>
      </w:divBdr>
    </w:div>
    <w:div w:id="1725717726">
      <w:bodyDiv w:val="1"/>
      <w:marLeft w:val="0"/>
      <w:marRight w:val="0"/>
      <w:marTop w:val="0"/>
      <w:marBottom w:val="0"/>
      <w:divBdr>
        <w:top w:val="none" w:sz="0" w:space="0" w:color="auto"/>
        <w:left w:val="none" w:sz="0" w:space="0" w:color="auto"/>
        <w:bottom w:val="none" w:sz="0" w:space="0" w:color="auto"/>
        <w:right w:val="none" w:sz="0" w:space="0" w:color="auto"/>
      </w:divBdr>
      <w:divsChild>
        <w:div w:id="193928267">
          <w:marLeft w:val="0"/>
          <w:marRight w:val="0"/>
          <w:marTop w:val="0"/>
          <w:marBottom w:val="0"/>
          <w:divBdr>
            <w:top w:val="none" w:sz="0" w:space="0" w:color="auto"/>
            <w:left w:val="none" w:sz="0" w:space="0" w:color="auto"/>
            <w:bottom w:val="none" w:sz="0" w:space="0" w:color="auto"/>
            <w:right w:val="none" w:sz="0" w:space="0" w:color="auto"/>
          </w:divBdr>
          <w:divsChild>
            <w:div w:id="325058667">
              <w:marLeft w:val="0"/>
              <w:marRight w:val="0"/>
              <w:marTop w:val="0"/>
              <w:marBottom w:val="0"/>
              <w:divBdr>
                <w:top w:val="none" w:sz="0" w:space="0" w:color="auto"/>
                <w:left w:val="none" w:sz="0" w:space="0" w:color="auto"/>
                <w:bottom w:val="none" w:sz="0" w:space="0" w:color="auto"/>
                <w:right w:val="none" w:sz="0" w:space="0" w:color="auto"/>
              </w:divBdr>
              <w:divsChild>
                <w:div w:id="421073061">
                  <w:marLeft w:val="0"/>
                  <w:marRight w:val="0"/>
                  <w:marTop w:val="0"/>
                  <w:marBottom w:val="0"/>
                  <w:divBdr>
                    <w:top w:val="none" w:sz="0" w:space="0" w:color="auto"/>
                    <w:left w:val="none" w:sz="0" w:space="0" w:color="auto"/>
                    <w:bottom w:val="none" w:sz="0" w:space="0" w:color="auto"/>
                    <w:right w:val="none" w:sz="0" w:space="0" w:color="auto"/>
                  </w:divBdr>
                  <w:divsChild>
                    <w:div w:id="1523014580">
                      <w:marLeft w:val="0"/>
                      <w:marRight w:val="0"/>
                      <w:marTop w:val="0"/>
                      <w:marBottom w:val="0"/>
                      <w:divBdr>
                        <w:top w:val="none" w:sz="0" w:space="0" w:color="auto"/>
                        <w:left w:val="none" w:sz="0" w:space="0" w:color="auto"/>
                        <w:bottom w:val="none" w:sz="0" w:space="0" w:color="auto"/>
                        <w:right w:val="none" w:sz="0" w:space="0" w:color="auto"/>
                      </w:divBdr>
                      <w:divsChild>
                        <w:div w:id="5928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southsomerset.gov.uk/planning-and-building-control/spatial-policy/neighbourhood-plans/neighbourhood-area-designations/wincanton-neighbourhood-area-desig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7753-4396-4D74-8796-D7055439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1972</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Internal Use Only (please fill in boxes below prior to submission to Democratic Services)</vt:lpstr>
    </vt:vector>
  </TitlesOfParts>
  <Company>SSDC</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Use Only (please fill in boxes below prior to submission to Democratic Services)</dc:title>
  <dc:creator>David Clews</dc:creator>
  <cp:lastModifiedBy>David Clews</cp:lastModifiedBy>
  <cp:revision>15</cp:revision>
  <cp:lastPrinted>2017-11-22T10:31:00Z</cp:lastPrinted>
  <dcterms:created xsi:type="dcterms:W3CDTF">2017-11-22T09:51:00Z</dcterms:created>
  <dcterms:modified xsi:type="dcterms:W3CDTF">2017-11-22T10:32:00Z</dcterms:modified>
</cp:coreProperties>
</file>