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South Somerset</w:t>
      </w:r>
    </w:p>
    <w:p w:rsidR="000F5C41" w:rsidRDefault="000F5C41" w:rsidP="00583EFA">
      <w:pPr>
        <w:pStyle w:val="Title"/>
        <w:spacing w:after="240"/>
        <w:rPr>
          <w:rFonts w:ascii="Arial" w:hAnsi="Arial" w:cs="Arial"/>
          <w:color w:val="76923C" w:themeColor="accent3" w:themeShade="BF"/>
        </w:rPr>
      </w:pPr>
    </w:p>
    <w:p w:rsidR="000F5C41" w:rsidRDefault="000F5C41" w:rsidP="00583EFA">
      <w:pPr>
        <w:pStyle w:val="Title"/>
        <w:spacing w:after="240"/>
        <w:rPr>
          <w:rFonts w:ascii="Arial" w:hAnsi="Arial" w:cs="Arial"/>
          <w:color w:val="76923C" w:themeColor="accent3" w:themeShade="BF"/>
        </w:rPr>
      </w:pPr>
      <w:r>
        <w:rPr>
          <w:rFonts w:ascii="Arial" w:hAnsi="Arial" w:cs="Arial"/>
          <w:color w:val="76923C" w:themeColor="accent3" w:themeShade="BF"/>
        </w:rPr>
        <w:t>Community Infrastructure Levy</w:t>
      </w:r>
    </w:p>
    <w:p w:rsidR="000F5C41" w:rsidRDefault="000F5C41" w:rsidP="00583EFA">
      <w:pPr>
        <w:pStyle w:val="Title"/>
        <w:spacing w:after="240"/>
        <w:rPr>
          <w:rFonts w:ascii="Arial" w:hAnsi="Arial" w:cs="Arial"/>
          <w:color w:val="76923C" w:themeColor="accent3" w:themeShade="BF"/>
        </w:rPr>
      </w:pPr>
    </w:p>
    <w:p w:rsidR="000F5C41" w:rsidRDefault="00156AF4" w:rsidP="00583EFA">
      <w:pPr>
        <w:pStyle w:val="Title"/>
        <w:spacing w:after="240"/>
        <w:rPr>
          <w:rFonts w:ascii="Arial" w:hAnsi="Arial" w:cs="Arial"/>
          <w:color w:val="76923C" w:themeColor="accent3" w:themeShade="BF"/>
        </w:rPr>
      </w:pPr>
      <w:r w:rsidRPr="00D907FA">
        <w:rPr>
          <w:rFonts w:ascii="Arial" w:hAnsi="Arial" w:cs="Arial"/>
          <w:color w:val="76923C" w:themeColor="accent3" w:themeShade="BF"/>
        </w:rPr>
        <w:t>Charging Schedule</w:t>
      </w:r>
      <w:r w:rsidR="001A5E17">
        <w:rPr>
          <w:rFonts w:ascii="Arial" w:hAnsi="Arial" w:cs="Arial"/>
          <w:color w:val="76923C" w:themeColor="accent3" w:themeShade="BF"/>
        </w:rPr>
        <w:t xml:space="preserve"> </w:t>
      </w:r>
    </w:p>
    <w:p w:rsidR="000F5C41" w:rsidRDefault="000F5C41" w:rsidP="00583EFA">
      <w:pPr>
        <w:pStyle w:val="Title"/>
        <w:spacing w:after="240"/>
        <w:rPr>
          <w:rFonts w:ascii="Arial" w:hAnsi="Arial" w:cs="Arial"/>
          <w:color w:val="76923C" w:themeColor="accent3" w:themeShade="BF"/>
        </w:rPr>
      </w:pPr>
    </w:p>
    <w:p w:rsidR="00EE7699" w:rsidRPr="00D907FA" w:rsidRDefault="00B957BE" w:rsidP="00583EFA">
      <w:pPr>
        <w:pStyle w:val="Title"/>
        <w:spacing w:after="240"/>
        <w:rPr>
          <w:rFonts w:ascii="Arial" w:hAnsi="Arial" w:cs="Arial"/>
          <w:color w:val="76923C" w:themeColor="accent3" w:themeShade="BF"/>
        </w:rPr>
      </w:pPr>
      <w:r>
        <w:rPr>
          <w:rFonts w:ascii="Arial" w:hAnsi="Arial" w:cs="Arial"/>
          <w:color w:val="76923C" w:themeColor="accent3" w:themeShade="BF"/>
        </w:rPr>
        <w:t>Instalments Policy</w:t>
      </w: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9656C0" w:rsidRDefault="009656C0" w:rsidP="009656C0">
      <w:pPr>
        <w:jc w:val="right"/>
        <w:rPr>
          <w:b/>
          <w:sz w:val="28"/>
        </w:rPr>
      </w:pPr>
    </w:p>
    <w:p w:rsidR="00E91F8B" w:rsidRPr="009656C0" w:rsidRDefault="00B957BE" w:rsidP="009656C0">
      <w:pPr>
        <w:jc w:val="right"/>
        <w:rPr>
          <w:b/>
          <w:sz w:val="28"/>
        </w:rPr>
      </w:pPr>
      <w:r>
        <w:rPr>
          <w:b/>
          <w:sz w:val="28"/>
        </w:rPr>
        <w:t>November</w:t>
      </w:r>
      <w:r w:rsidR="00671CAF" w:rsidRPr="009656C0">
        <w:rPr>
          <w:b/>
          <w:sz w:val="28"/>
        </w:rPr>
        <w:t xml:space="preserve"> 2016</w:t>
      </w:r>
    </w:p>
    <w:p w:rsidR="00E91F8B" w:rsidRDefault="00E91F8B" w:rsidP="00E91F8B"/>
    <w:p w:rsidR="00E91F8B" w:rsidRDefault="00E91F8B" w:rsidP="00E91F8B"/>
    <w:p w:rsidR="00E91F8B" w:rsidRDefault="00E91F8B" w:rsidP="00E91F8B"/>
    <w:p w:rsidR="00E91F8B" w:rsidRDefault="00E91F8B" w:rsidP="00E91F8B"/>
    <w:p w:rsidR="00E91F8B" w:rsidRDefault="00E91F8B" w:rsidP="00E91F8B"/>
    <w:p w:rsidR="00E91F8B" w:rsidRDefault="00E91F8B" w:rsidP="00E91F8B"/>
    <w:p w:rsidR="000F5C41" w:rsidRDefault="000F5C41" w:rsidP="00E91F8B">
      <w:pPr>
        <w:sectPr w:rsidR="000F5C41" w:rsidSect="007C15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pgNumType w:fmt="lowerRoman" w:start="1"/>
          <w:cols w:space="708"/>
          <w:docGrid w:linePitch="360"/>
        </w:sectPr>
      </w:pPr>
    </w:p>
    <w:p w:rsidR="00C037FC" w:rsidRPr="00D907FA" w:rsidRDefault="00E23075" w:rsidP="00E23075">
      <w:pPr>
        <w:pStyle w:val="Heading1"/>
        <w:numPr>
          <w:ilvl w:val="0"/>
          <w:numId w:val="1"/>
        </w:numPr>
        <w:spacing w:before="360" w:after="120"/>
        <w:rPr>
          <w:rFonts w:ascii="Arial" w:hAnsi="Arial" w:cs="Arial"/>
          <w:color w:val="76923C" w:themeColor="accent3" w:themeShade="BF"/>
        </w:rPr>
      </w:pPr>
      <w:r w:rsidRPr="00D907FA">
        <w:rPr>
          <w:rFonts w:ascii="Arial" w:hAnsi="Arial" w:cs="Arial"/>
          <w:color w:val="76923C" w:themeColor="accent3" w:themeShade="BF"/>
        </w:rPr>
        <w:lastRenderedPageBreak/>
        <w:t>Introduction</w:t>
      </w:r>
    </w:p>
    <w:p w:rsidR="00B957BE" w:rsidRDefault="00156AF4" w:rsidP="00B957BE">
      <w:pPr>
        <w:pStyle w:val="ListParagraph"/>
        <w:numPr>
          <w:ilvl w:val="1"/>
          <w:numId w:val="1"/>
        </w:numPr>
        <w:ind w:left="567" w:hanging="567"/>
        <w:rPr>
          <w:rFonts w:cs="Arial"/>
        </w:rPr>
      </w:pPr>
      <w:r w:rsidRPr="00D907FA">
        <w:rPr>
          <w:rFonts w:cs="Arial"/>
        </w:rPr>
        <w:t xml:space="preserve">This document </w:t>
      </w:r>
      <w:r w:rsidR="00B957BE">
        <w:rPr>
          <w:rFonts w:cs="Arial"/>
        </w:rPr>
        <w:t xml:space="preserve">sets out South Somerset District Council’s Instalments Policy relating to its approved Charging Schedule. </w:t>
      </w:r>
    </w:p>
    <w:p w:rsidR="00B957BE" w:rsidRDefault="00B957BE" w:rsidP="00B957BE">
      <w:pPr>
        <w:pStyle w:val="ListParagraph"/>
        <w:numPr>
          <w:ilvl w:val="1"/>
          <w:numId w:val="1"/>
        </w:numPr>
        <w:ind w:left="567" w:hanging="567"/>
        <w:rPr>
          <w:rFonts w:cs="Arial"/>
        </w:rPr>
      </w:pPr>
      <w:r>
        <w:rPr>
          <w:rFonts w:cs="Arial"/>
        </w:rPr>
        <w:t>The levy and the Charging Schedule will be implemented from the 3</w:t>
      </w:r>
      <w:r w:rsidRPr="00B957BE">
        <w:rPr>
          <w:rFonts w:cs="Arial"/>
          <w:vertAlign w:val="superscript"/>
        </w:rPr>
        <w:t>rd</w:t>
      </w:r>
      <w:r w:rsidR="00584F1E">
        <w:rPr>
          <w:rFonts w:cs="Arial"/>
        </w:rPr>
        <w:t xml:space="preserve"> April 2017, and the Instal</w:t>
      </w:r>
      <w:bookmarkStart w:id="0" w:name="_GoBack"/>
      <w:bookmarkEnd w:id="0"/>
      <w:r>
        <w:rPr>
          <w:rFonts w:cs="Arial"/>
        </w:rPr>
        <w:t xml:space="preserve">ments Policy will be followed from that day forward, until such time as it is </w:t>
      </w:r>
      <w:proofErr w:type="gramStart"/>
      <w:r>
        <w:rPr>
          <w:rFonts w:cs="Arial"/>
        </w:rPr>
        <w:t>either withdrawn</w:t>
      </w:r>
      <w:proofErr w:type="gramEnd"/>
      <w:r>
        <w:rPr>
          <w:rFonts w:cs="Arial"/>
        </w:rPr>
        <w:t xml:space="preserve">, amended or abandoned. </w:t>
      </w:r>
    </w:p>
    <w:p w:rsidR="009B5B20" w:rsidRPr="00D907FA" w:rsidRDefault="00B957BE" w:rsidP="00FD6BDE">
      <w:pPr>
        <w:pStyle w:val="Heading1"/>
        <w:numPr>
          <w:ilvl w:val="0"/>
          <w:numId w:val="1"/>
        </w:numPr>
        <w:spacing w:before="360" w:after="120"/>
        <w:rPr>
          <w:rFonts w:ascii="Arial" w:hAnsi="Arial" w:cs="Arial"/>
          <w:color w:val="76923C" w:themeColor="accent3" w:themeShade="BF"/>
        </w:rPr>
      </w:pPr>
      <w:r>
        <w:rPr>
          <w:rFonts w:ascii="Arial" w:hAnsi="Arial" w:cs="Arial"/>
          <w:color w:val="76923C" w:themeColor="accent3" w:themeShade="BF"/>
        </w:rPr>
        <w:t>I</w:t>
      </w:r>
      <w:r w:rsidR="00CA1B37">
        <w:rPr>
          <w:rFonts w:ascii="Arial" w:hAnsi="Arial" w:cs="Arial"/>
          <w:color w:val="76923C" w:themeColor="accent3" w:themeShade="BF"/>
        </w:rPr>
        <w:t>nstalment P</w:t>
      </w:r>
      <w:r w:rsidR="00EF0C4C">
        <w:rPr>
          <w:rFonts w:ascii="Arial" w:hAnsi="Arial" w:cs="Arial"/>
          <w:color w:val="76923C" w:themeColor="accent3" w:themeShade="BF"/>
        </w:rPr>
        <w:t>olicy</w:t>
      </w:r>
    </w:p>
    <w:p w:rsidR="00556121" w:rsidRDefault="002C621D" w:rsidP="00556121">
      <w:pPr>
        <w:pStyle w:val="ListParagraph"/>
        <w:numPr>
          <w:ilvl w:val="1"/>
          <w:numId w:val="1"/>
        </w:numPr>
        <w:ind w:left="567" w:hanging="567"/>
        <w:rPr>
          <w:rFonts w:cs="Arial"/>
        </w:rPr>
      </w:pPr>
      <w:r w:rsidRPr="00556121">
        <w:rPr>
          <w:rFonts w:cs="Arial"/>
        </w:rPr>
        <w:t xml:space="preserve">The CIL regime </w:t>
      </w:r>
      <w:r w:rsidR="009F2C0A" w:rsidRPr="00556121">
        <w:rPr>
          <w:rFonts w:cs="Arial"/>
        </w:rPr>
        <w:t>aims to</w:t>
      </w:r>
      <w:r w:rsidRPr="00556121">
        <w:rPr>
          <w:rFonts w:cs="Arial"/>
        </w:rPr>
        <w:t xml:space="preserve"> provide certainty to both the development industry and the Council in terms of </w:t>
      </w:r>
      <w:r w:rsidR="00CA1B37" w:rsidRPr="00556121">
        <w:rPr>
          <w:rFonts w:cs="Arial"/>
        </w:rPr>
        <w:t xml:space="preserve">the amount of levy that is due, and the timing of payment. As noted in Chapter 1, </w:t>
      </w:r>
      <w:r w:rsidR="009F2C0A" w:rsidRPr="00556121">
        <w:rPr>
          <w:rFonts w:cs="Arial"/>
        </w:rPr>
        <w:t xml:space="preserve">the </w:t>
      </w:r>
      <w:r w:rsidR="00CA1B37" w:rsidRPr="00556121">
        <w:rPr>
          <w:rFonts w:cs="Arial"/>
        </w:rPr>
        <w:t>Government</w:t>
      </w:r>
      <w:r w:rsidR="009F2C0A" w:rsidRPr="00556121">
        <w:rPr>
          <w:rFonts w:cs="Arial"/>
        </w:rPr>
        <w:t xml:space="preserve"> expects the </w:t>
      </w:r>
      <w:r w:rsidR="00CA1B37" w:rsidRPr="00556121">
        <w:rPr>
          <w:rFonts w:cs="Arial"/>
        </w:rPr>
        <w:t xml:space="preserve">CIL </w:t>
      </w:r>
      <w:r w:rsidR="009F2C0A" w:rsidRPr="00556121">
        <w:rPr>
          <w:rFonts w:cs="Arial"/>
        </w:rPr>
        <w:t xml:space="preserve">process </w:t>
      </w:r>
      <w:r w:rsidR="00CA1B37" w:rsidRPr="00556121">
        <w:rPr>
          <w:rFonts w:cs="Arial"/>
        </w:rPr>
        <w:t>to be faster in terms of securing funds</w:t>
      </w:r>
      <w:r w:rsidR="009F2C0A" w:rsidRPr="00556121">
        <w:rPr>
          <w:rFonts w:cs="Arial"/>
        </w:rPr>
        <w:t xml:space="preserve">. </w:t>
      </w:r>
      <w:r w:rsidR="00CA1B37" w:rsidRPr="00556121">
        <w:rPr>
          <w:rFonts w:cs="Arial"/>
        </w:rPr>
        <w:t xml:space="preserve">In </w:t>
      </w:r>
      <w:r w:rsidR="00556121">
        <w:rPr>
          <w:rFonts w:cs="Arial"/>
        </w:rPr>
        <w:t xml:space="preserve">normal circumstances </w:t>
      </w:r>
      <w:r w:rsidR="00CA1B37" w:rsidRPr="00556121">
        <w:rPr>
          <w:rFonts w:cs="Arial"/>
        </w:rPr>
        <w:t>the levy becomes due from the date that a char</w:t>
      </w:r>
      <w:r w:rsidR="00556121">
        <w:rPr>
          <w:rFonts w:cs="Arial"/>
        </w:rPr>
        <w:t>geable development ha</w:t>
      </w:r>
      <w:r w:rsidR="00CA1B37" w:rsidRPr="00556121">
        <w:rPr>
          <w:rFonts w:cs="Arial"/>
        </w:rPr>
        <w:t xml:space="preserve">s commenced. </w:t>
      </w:r>
      <w:r w:rsidR="009F2C0A" w:rsidRPr="00556121">
        <w:rPr>
          <w:rFonts w:cs="Arial"/>
        </w:rPr>
        <w:t>C</w:t>
      </w:r>
      <w:r w:rsidR="00CA1B37" w:rsidRPr="00556121">
        <w:rPr>
          <w:rFonts w:cs="Arial"/>
        </w:rPr>
        <w:t xml:space="preserve">ommencement </w:t>
      </w:r>
      <w:r w:rsidR="009F2C0A" w:rsidRPr="00556121">
        <w:rPr>
          <w:rFonts w:cs="Arial"/>
        </w:rPr>
        <w:t xml:space="preserve">is defined </w:t>
      </w:r>
      <w:r w:rsidR="00AA1902">
        <w:rPr>
          <w:rFonts w:cs="Arial"/>
        </w:rPr>
        <w:t xml:space="preserve">in the same way as it is </w:t>
      </w:r>
      <w:r w:rsidR="00556121" w:rsidRPr="00556121">
        <w:rPr>
          <w:rFonts w:cs="Arial"/>
        </w:rPr>
        <w:t>used in planning legislation (i.e. ‘material operations’ on the site)</w:t>
      </w:r>
      <w:r w:rsidR="00556121">
        <w:rPr>
          <w:rStyle w:val="FootnoteReference"/>
          <w:rFonts w:cs="Arial"/>
        </w:rPr>
        <w:footnoteReference w:id="1"/>
      </w:r>
      <w:r w:rsidR="00556121" w:rsidRPr="00556121">
        <w:rPr>
          <w:rFonts w:cs="Arial"/>
        </w:rPr>
        <w:t>.</w:t>
      </w:r>
    </w:p>
    <w:p w:rsidR="009F1584" w:rsidRDefault="00556121" w:rsidP="009F1584">
      <w:pPr>
        <w:pStyle w:val="ListParagraph"/>
        <w:numPr>
          <w:ilvl w:val="1"/>
          <w:numId w:val="1"/>
        </w:numPr>
        <w:ind w:left="567" w:hanging="567"/>
        <w:rPr>
          <w:rFonts w:cs="Arial"/>
        </w:rPr>
      </w:pPr>
      <w:r>
        <w:rPr>
          <w:rFonts w:cs="Arial"/>
        </w:rPr>
        <w:t>However, i</w:t>
      </w:r>
      <w:r w:rsidR="00CA1B37" w:rsidRPr="00556121">
        <w:rPr>
          <w:rFonts w:cs="Arial"/>
        </w:rPr>
        <w:t>n response to comments received during consultation on the Preliminary Draft Charging Schedule,</w:t>
      </w:r>
      <w:r w:rsidR="00B957BE">
        <w:rPr>
          <w:rFonts w:cs="Arial"/>
        </w:rPr>
        <w:t xml:space="preserve"> and the Draft Charging Schedule,</w:t>
      </w:r>
      <w:r w:rsidR="00CA1B37" w:rsidRPr="00556121">
        <w:rPr>
          <w:rFonts w:cs="Arial"/>
        </w:rPr>
        <w:t xml:space="preserve"> the Council intends to introduce an instalments policy</w:t>
      </w:r>
      <w:r>
        <w:rPr>
          <w:rFonts w:cs="Arial"/>
        </w:rPr>
        <w:t xml:space="preserve"> to help manage the flow of payments</w:t>
      </w:r>
      <w:r w:rsidR="00CA1B37" w:rsidRPr="00556121">
        <w:rPr>
          <w:rFonts w:cs="Arial"/>
        </w:rPr>
        <w:t>.</w:t>
      </w:r>
    </w:p>
    <w:p w:rsidR="009F1584" w:rsidRDefault="009F1584" w:rsidP="009F1584">
      <w:pPr>
        <w:pStyle w:val="ListParagraph"/>
        <w:numPr>
          <w:ilvl w:val="1"/>
          <w:numId w:val="1"/>
        </w:numPr>
        <w:ind w:left="567" w:hanging="567"/>
        <w:rPr>
          <w:rFonts w:cs="Arial"/>
        </w:rPr>
      </w:pPr>
      <w:r w:rsidRPr="009F1584">
        <w:rPr>
          <w:rFonts w:cs="Arial"/>
        </w:rPr>
        <w:t>The Council’s instalments policy is in accordance with Regulation 69B of the Community Infrastructure Levy Regulations 2010 (as amended), with instalments linked to the amount payable (the chargeable amount).</w:t>
      </w:r>
      <w:r>
        <w:rPr>
          <w:rFonts w:cs="Arial"/>
        </w:rPr>
        <w:t xml:space="preserve"> As permitted under Regulation 9</w:t>
      </w:r>
      <w:r w:rsidRPr="009F1584">
        <w:rPr>
          <w:rFonts w:cs="Arial"/>
        </w:rPr>
        <w:t>(4) of the Community Infrastructure Regulations 2010 (as amended), where outline planning</w:t>
      </w:r>
      <w:r>
        <w:rPr>
          <w:rFonts w:cs="Arial"/>
        </w:rPr>
        <w:t xml:space="preserve"> </w:t>
      </w:r>
      <w:r w:rsidRPr="009F1584">
        <w:rPr>
          <w:rFonts w:cs="Arial"/>
        </w:rPr>
        <w:t>permission which permits development to be implemented in phases has been granted, each phase of the development as agreed</w:t>
      </w:r>
      <w:r>
        <w:rPr>
          <w:rFonts w:cs="Arial"/>
        </w:rPr>
        <w:t xml:space="preserve"> </w:t>
      </w:r>
      <w:r w:rsidRPr="009F1584">
        <w:rPr>
          <w:rFonts w:cs="Arial"/>
        </w:rPr>
        <w:t xml:space="preserve">by </w:t>
      </w:r>
      <w:r>
        <w:rPr>
          <w:rFonts w:cs="Arial"/>
        </w:rPr>
        <w:t>South Somerset District</w:t>
      </w:r>
      <w:r w:rsidRPr="009F1584">
        <w:rPr>
          <w:rFonts w:cs="Arial"/>
        </w:rPr>
        <w:t xml:space="preserve"> Council is a separate chargeable development and the instalment policy will, therefore, apply to each</w:t>
      </w:r>
      <w:r>
        <w:rPr>
          <w:rFonts w:cs="Arial"/>
        </w:rPr>
        <w:t xml:space="preserve"> </w:t>
      </w:r>
      <w:r w:rsidRPr="009F1584">
        <w:rPr>
          <w:rFonts w:cs="Arial"/>
        </w:rPr>
        <w:t>separate chargeable development and associated separate liable amount chargeable.</w:t>
      </w:r>
    </w:p>
    <w:p w:rsidR="009F1584" w:rsidRDefault="009F1584" w:rsidP="009F1584">
      <w:pPr>
        <w:pStyle w:val="ListParagraph"/>
        <w:numPr>
          <w:ilvl w:val="1"/>
          <w:numId w:val="1"/>
        </w:numPr>
        <w:ind w:left="567" w:hanging="567"/>
        <w:rPr>
          <w:rFonts w:cs="Arial"/>
        </w:rPr>
      </w:pPr>
      <w:r w:rsidRPr="009F1584">
        <w:rPr>
          <w:rFonts w:cs="Arial"/>
        </w:rPr>
        <w:t>Th</w:t>
      </w:r>
      <w:r>
        <w:rPr>
          <w:rFonts w:cs="Arial"/>
        </w:rPr>
        <w:t xml:space="preserve">ere will be exemptions and circumstances where this </w:t>
      </w:r>
      <w:r w:rsidRPr="009F1584">
        <w:rPr>
          <w:rFonts w:cs="Arial"/>
        </w:rPr>
        <w:t>policy will not apply</w:t>
      </w:r>
      <w:r>
        <w:rPr>
          <w:rFonts w:cs="Arial"/>
        </w:rPr>
        <w:t>. These issues will be considered by the Council as and when they arise, but include, and are not limited to:</w:t>
      </w:r>
    </w:p>
    <w:p w:rsidR="006A0112" w:rsidRDefault="009F1584" w:rsidP="006A0112">
      <w:pPr>
        <w:pStyle w:val="ListParagraph"/>
        <w:numPr>
          <w:ilvl w:val="0"/>
          <w:numId w:val="13"/>
        </w:numPr>
        <w:rPr>
          <w:rFonts w:cs="Arial"/>
        </w:rPr>
      </w:pPr>
      <w:r w:rsidRPr="009F1584">
        <w:rPr>
          <w:rFonts w:cs="Arial"/>
        </w:rPr>
        <w:t>A commencement notice has not been submitted prior to commencement of the charge</w:t>
      </w:r>
      <w:r>
        <w:rPr>
          <w:rFonts w:cs="Arial"/>
        </w:rPr>
        <w:t xml:space="preserve">able development, as required by </w:t>
      </w:r>
      <w:r w:rsidRPr="009F1584">
        <w:rPr>
          <w:rFonts w:cs="Arial"/>
        </w:rPr>
        <w:t>Regulation 67 of the Community Infrastructur</w:t>
      </w:r>
      <w:r w:rsidR="006A0112">
        <w:rPr>
          <w:rFonts w:cs="Arial"/>
        </w:rPr>
        <w:t>e Regulations 2010 (as amended).</w:t>
      </w:r>
    </w:p>
    <w:p w:rsidR="009F1584" w:rsidRPr="006A0112" w:rsidRDefault="009F1584" w:rsidP="006A0112">
      <w:pPr>
        <w:pStyle w:val="ListParagraph"/>
        <w:numPr>
          <w:ilvl w:val="0"/>
          <w:numId w:val="13"/>
        </w:numPr>
        <w:rPr>
          <w:rFonts w:cs="Arial"/>
        </w:rPr>
      </w:pPr>
      <w:r w:rsidRPr="006A0112">
        <w:rPr>
          <w:rFonts w:cs="Arial"/>
        </w:rPr>
        <w:t>On the intended date of commencement</w:t>
      </w:r>
      <w:r w:rsidR="006A0112">
        <w:rPr>
          <w:rFonts w:cs="Arial"/>
        </w:rPr>
        <w:t>:</w:t>
      </w:r>
    </w:p>
    <w:p w:rsidR="006A0112" w:rsidRDefault="009F1584" w:rsidP="006A0112">
      <w:pPr>
        <w:pStyle w:val="ListParagraph"/>
        <w:numPr>
          <w:ilvl w:val="0"/>
          <w:numId w:val="14"/>
        </w:numPr>
        <w:rPr>
          <w:rFonts w:cs="Arial"/>
        </w:rPr>
      </w:pPr>
      <w:r w:rsidRPr="009F1584">
        <w:rPr>
          <w:rFonts w:cs="Arial"/>
        </w:rPr>
        <w:t>Nobody has assumed liability to pay CIL in respect of the chargeable development;</w:t>
      </w:r>
    </w:p>
    <w:p w:rsidR="006A0112" w:rsidRDefault="009F1584" w:rsidP="006A0112">
      <w:pPr>
        <w:pStyle w:val="ListParagraph"/>
        <w:numPr>
          <w:ilvl w:val="0"/>
          <w:numId w:val="14"/>
        </w:numPr>
        <w:rPr>
          <w:rFonts w:cs="Arial"/>
        </w:rPr>
      </w:pPr>
      <w:r w:rsidRPr="006A0112">
        <w:rPr>
          <w:rFonts w:cs="Arial"/>
        </w:rPr>
        <w:t>A commencement notice has been received by S</w:t>
      </w:r>
      <w:r w:rsidR="006A0112">
        <w:rPr>
          <w:rFonts w:cs="Arial"/>
        </w:rPr>
        <w:t>outh Somerset Dis</w:t>
      </w:r>
      <w:r w:rsidRPr="006A0112">
        <w:rPr>
          <w:rFonts w:cs="Arial"/>
        </w:rPr>
        <w:t>trict Council in respect of the chargeable development; and</w:t>
      </w:r>
    </w:p>
    <w:p w:rsidR="009F1584" w:rsidRPr="006A0112" w:rsidRDefault="006A0112" w:rsidP="006A0112">
      <w:pPr>
        <w:pStyle w:val="ListParagraph"/>
        <w:numPr>
          <w:ilvl w:val="0"/>
          <w:numId w:val="14"/>
        </w:numPr>
        <w:rPr>
          <w:rFonts w:cs="Arial"/>
        </w:rPr>
      </w:pPr>
      <w:r>
        <w:rPr>
          <w:rFonts w:cs="Arial"/>
        </w:rPr>
        <w:t xml:space="preserve">South Somerset </w:t>
      </w:r>
      <w:r w:rsidR="009F1584" w:rsidRPr="006A0112">
        <w:rPr>
          <w:rFonts w:cs="Arial"/>
        </w:rPr>
        <w:t xml:space="preserve">District Council has not determined a deemed commencement date for the chargeable development and, therefore, </w:t>
      </w:r>
      <w:r w:rsidR="009F1584" w:rsidRPr="006A0112">
        <w:rPr>
          <w:rFonts w:cs="Arial"/>
        </w:rPr>
        <w:lastRenderedPageBreak/>
        <w:t>payment is required in full, as required by Regulation 71 of the Community Infrastructure Regulations 2010 (as amended);</w:t>
      </w:r>
    </w:p>
    <w:p w:rsidR="006A0112" w:rsidRDefault="009F1584" w:rsidP="006A0112">
      <w:pPr>
        <w:pStyle w:val="ListParagraph"/>
        <w:numPr>
          <w:ilvl w:val="0"/>
          <w:numId w:val="13"/>
        </w:numPr>
        <w:rPr>
          <w:rFonts w:cs="Arial"/>
        </w:rPr>
      </w:pPr>
      <w:r w:rsidRPr="009F1584">
        <w:rPr>
          <w:rFonts w:cs="Arial"/>
        </w:rPr>
        <w:t>A person has failed to notify S</w:t>
      </w:r>
      <w:r w:rsidR="006A0112">
        <w:rPr>
          <w:rFonts w:cs="Arial"/>
        </w:rPr>
        <w:t xml:space="preserve">outh Somerset </w:t>
      </w:r>
      <w:r w:rsidRPr="009F1584">
        <w:rPr>
          <w:rFonts w:cs="Arial"/>
        </w:rPr>
        <w:t>District Council of a disqualifying event before the end o</w:t>
      </w:r>
      <w:r>
        <w:rPr>
          <w:rFonts w:cs="Arial"/>
        </w:rPr>
        <w:t xml:space="preserve">f 14 days beginning with the day </w:t>
      </w:r>
      <w:r w:rsidRPr="009F1584">
        <w:rPr>
          <w:rFonts w:cs="Arial"/>
        </w:rPr>
        <w:t>on which the disqualifying event occurs, as per the Community Infrastructure Regulations 2010 (as amended)</w:t>
      </w:r>
      <w:r w:rsidR="006A0112">
        <w:rPr>
          <w:rFonts w:cs="Arial"/>
        </w:rPr>
        <w:t>.</w:t>
      </w:r>
    </w:p>
    <w:p w:rsidR="009F1584" w:rsidRPr="006A0112" w:rsidRDefault="009F1584" w:rsidP="006A0112">
      <w:pPr>
        <w:pStyle w:val="ListParagraph"/>
        <w:numPr>
          <w:ilvl w:val="0"/>
          <w:numId w:val="13"/>
        </w:numPr>
        <w:rPr>
          <w:rFonts w:cs="Arial"/>
        </w:rPr>
      </w:pPr>
      <w:r w:rsidRPr="006A0112">
        <w:rPr>
          <w:rFonts w:cs="Arial"/>
        </w:rPr>
        <w:t>An instalment payment has not been made in full after the end of the period of 30 days beginning with the day on which the instalment payment was due, as per the Community Infrastructure Regulations 2010 (as amended)</w:t>
      </w:r>
      <w:r w:rsidR="006A0112">
        <w:rPr>
          <w:rFonts w:cs="Arial"/>
        </w:rPr>
        <w:t>.</w:t>
      </w:r>
    </w:p>
    <w:p w:rsidR="009F1584" w:rsidRPr="009F1584" w:rsidRDefault="009F1584" w:rsidP="009F1584">
      <w:pPr>
        <w:pStyle w:val="ListParagraph"/>
        <w:numPr>
          <w:ilvl w:val="1"/>
          <w:numId w:val="1"/>
        </w:numPr>
        <w:ind w:left="567" w:hanging="567"/>
        <w:rPr>
          <w:rFonts w:cs="Arial"/>
        </w:rPr>
      </w:pPr>
      <w:r w:rsidRPr="009F1584">
        <w:rPr>
          <w:rFonts w:cs="Arial"/>
        </w:rPr>
        <w:t>Where the instalment policy is not applicable, the amount must be paid in full at the end of the period of 60 days beginning with the</w:t>
      </w:r>
      <w:r>
        <w:rPr>
          <w:rFonts w:cs="Arial"/>
        </w:rPr>
        <w:t xml:space="preserve"> </w:t>
      </w:r>
      <w:r w:rsidRPr="009F1584">
        <w:rPr>
          <w:rFonts w:cs="Arial"/>
        </w:rPr>
        <w:t>notified or deemed commencement date of the chargeable development or the date of the disqualifying event, whichever is the</w:t>
      </w:r>
      <w:r>
        <w:rPr>
          <w:rFonts w:cs="Arial"/>
        </w:rPr>
        <w:t xml:space="preserve"> </w:t>
      </w:r>
      <w:r w:rsidRPr="009F1584">
        <w:rPr>
          <w:rFonts w:cs="Arial"/>
        </w:rPr>
        <w:t>earliest, unless specified otherwise within the Community Infrastructure Levy Regulations 2010 (as amended).</w:t>
      </w:r>
    </w:p>
    <w:p w:rsidR="004D5CFD" w:rsidRDefault="00556121" w:rsidP="004D5CFD">
      <w:pPr>
        <w:pStyle w:val="ListParagraph"/>
        <w:numPr>
          <w:ilvl w:val="1"/>
          <w:numId w:val="1"/>
        </w:numPr>
        <w:ind w:left="567" w:hanging="567"/>
        <w:rPr>
          <w:rFonts w:cs="Arial"/>
        </w:rPr>
      </w:pPr>
      <w:r>
        <w:rPr>
          <w:rFonts w:cs="Arial"/>
        </w:rPr>
        <w:t>The breakdown of instalments for payments of the levy is set out in Table 1 below.</w:t>
      </w:r>
    </w:p>
    <w:p w:rsidR="004D519C" w:rsidRDefault="004D519C">
      <w:pPr>
        <w:rPr>
          <w:rFonts w:cs="Arial"/>
          <w:b/>
        </w:rPr>
      </w:pPr>
      <w:r>
        <w:rPr>
          <w:rFonts w:cs="Arial"/>
          <w:b/>
        </w:rPr>
        <w:br w:type="page"/>
      </w:r>
    </w:p>
    <w:p w:rsidR="004D5CFD" w:rsidRDefault="004D5CFD" w:rsidP="004D5CFD">
      <w:pPr>
        <w:rPr>
          <w:rFonts w:cs="Arial"/>
          <w:b/>
        </w:rPr>
      </w:pPr>
      <w:r w:rsidRPr="004D5CFD">
        <w:rPr>
          <w:rFonts w:cs="Arial"/>
          <w:b/>
        </w:rPr>
        <w:lastRenderedPageBreak/>
        <w:t>Table 1: Instalments Policy</w:t>
      </w:r>
    </w:p>
    <w:tbl>
      <w:tblPr>
        <w:tblStyle w:val="LightList-Accent3"/>
        <w:tblW w:w="9639" w:type="dxa"/>
        <w:tblInd w:w="108" w:type="dxa"/>
        <w:tblLook w:val="04A0" w:firstRow="1" w:lastRow="0" w:firstColumn="1" w:lastColumn="0" w:noHBand="0" w:noVBand="1"/>
      </w:tblPr>
      <w:tblGrid>
        <w:gridCol w:w="3119"/>
        <w:gridCol w:w="2126"/>
        <w:gridCol w:w="4394"/>
      </w:tblGrid>
      <w:tr w:rsidR="006A0112" w:rsidTr="00B95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9BBB59" w:themeColor="accent3"/>
              <w:bottom w:val="single" w:sz="8" w:space="0" w:color="9BBB59" w:themeColor="accent3"/>
              <w:right w:val="single" w:sz="8" w:space="0" w:color="9BBB59" w:themeColor="accent3"/>
            </w:tcBorders>
            <w:shd w:val="clear" w:color="auto" w:fill="C2D69B" w:themeFill="accent3" w:themeFillTint="99"/>
          </w:tcPr>
          <w:p w:rsidR="006A0112" w:rsidRPr="00D80090" w:rsidRDefault="006A0112" w:rsidP="006A0112">
            <w:r>
              <w:t>Total CIL liability</w:t>
            </w:r>
          </w:p>
        </w:tc>
        <w:tc>
          <w:tcPr>
            <w:tcW w:w="2126"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6A0112" w:rsidRPr="00D80090" w:rsidRDefault="006A0112" w:rsidP="0040029E">
            <w:pPr>
              <w:cnfStyle w:val="100000000000" w:firstRow="1" w:lastRow="0" w:firstColumn="0" w:lastColumn="0" w:oddVBand="0" w:evenVBand="0" w:oddHBand="0" w:evenHBand="0" w:firstRowFirstColumn="0" w:firstRowLastColumn="0" w:lastRowFirstColumn="0" w:lastRowLastColumn="0"/>
            </w:pPr>
            <w:r w:rsidRPr="00D80090">
              <w:t>Number of instalments and</w:t>
            </w:r>
            <w:r>
              <w:t xml:space="preserve"> amount payable</w:t>
            </w:r>
          </w:p>
        </w:tc>
        <w:tc>
          <w:tcPr>
            <w:tcW w:w="4394" w:type="dxa"/>
            <w:tcBorders>
              <w:top w:val="single" w:sz="8" w:space="0" w:color="9BBB59" w:themeColor="accent3"/>
              <w:left w:val="single" w:sz="8" w:space="0" w:color="9BBB59" w:themeColor="accent3"/>
              <w:bottom w:val="single" w:sz="8" w:space="0" w:color="9BBB59" w:themeColor="accent3"/>
            </w:tcBorders>
            <w:shd w:val="clear" w:color="auto" w:fill="C2D69B" w:themeFill="accent3" w:themeFillTint="99"/>
          </w:tcPr>
          <w:p w:rsidR="006A0112" w:rsidRPr="00D80090" w:rsidRDefault="006A0112" w:rsidP="0040029E">
            <w:pPr>
              <w:cnfStyle w:val="100000000000" w:firstRow="1" w:lastRow="0" w:firstColumn="0" w:lastColumn="0" w:oddVBand="0" w:evenVBand="0" w:oddHBand="0" w:evenHBand="0" w:firstRowFirstColumn="0" w:firstRowLastColumn="0" w:lastRowFirstColumn="0" w:lastRowLastColumn="0"/>
            </w:pPr>
            <w:r>
              <w:t>Payment period</w:t>
            </w:r>
          </w:p>
        </w:tc>
      </w:tr>
      <w:tr w:rsidR="00AA1902" w:rsidTr="00B95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single" w:sz="8" w:space="0" w:color="9BBB59" w:themeColor="accent3"/>
            </w:tcBorders>
          </w:tcPr>
          <w:p w:rsidR="00AA1902" w:rsidRPr="00453207" w:rsidRDefault="00AA1902" w:rsidP="0040029E">
            <w:r w:rsidRPr="00453207">
              <w:t>Amount less than £16,000 or amount due in respect of a single dwelling</w:t>
            </w:r>
          </w:p>
        </w:tc>
        <w:tc>
          <w:tcPr>
            <w:tcW w:w="2126" w:type="dxa"/>
            <w:tcBorders>
              <w:left w:val="single" w:sz="8" w:space="0" w:color="9BBB59" w:themeColor="accent3"/>
            </w:tcBorders>
          </w:tcPr>
          <w:p w:rsidR="00AA1902" w:rsidRPr="00453207" w:rsidRDefault="00AA1902" w:rsidP="0040029E">
            <w:pPr>
              <w:cnfStyle w:val="000000100000" w:firstRow="0" w:lastRow="0" w:firstColumn="0" w:lastColumn="0" w:oddVBand="0" w:evenVBand="0" w:oddHBand="1" w:evenHBand="0" w:firstRowFirstColumn="0" w:firstRowLastColumn="0" w:lastRowFirstColumn="0" w:lastRowLastColumn="0"/>
            </w:pPr>
            <w:r w:rsidRPr="00453207">
              <w:t>Payable as one instalment</w:t>
            </w:r>
          </w:p>
        </w:tc>
        <w:tc>
          <w:tcPr>
            <w:tcW w:w="4394" w:type="dxa"/>
            <w:tcBorders>
              <w:left w:val="single" w:sz="8" w:space="0" w:color="9BBB59" w:themeColor="accent3"/>
            </w:tcBorders>
          </w:tcPr>
          <w:p w:rsidR="00AA1902" w:rsidRDefault="00AA1902" w:rsidP="0040029E">
            <w:pPr>
              <w:cnfStyle w:val="000000100000" w:firstRow="0" w:lastRow="0" w:firstColumn="0" w:lastColumn="0" w:oddVBand="0" w:evenVBand="0" w:oddHBand="1" w:evenHBand="0" w:firstRowFirstColumn="0" w:firstRowLastColumn="0" w:lastRowFirstColumn="0" w:lastRowLastColumn="0"/>
            </w:pPr>
            <w:r w:rsidRPr="00453207">
              <w:t>100% payable within 60 days of the commencement date</w:t>
            </w:r>
          </w:p>
        </w:tc>
      </w:tr>
      <w:tr w:rsidR="00AA1902" w:rsidTr="00B957BE">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9BBB59" w:themeColor="accent3"/>
              <w:bottom w:val="single" w:sz="8" w:space="0" w:color="9BBB59" w:themeColor="accent3"/>
              <w:right w:val="single" w:sz="8" w:space="0" w:color="9BBB59" w:themeColor="accent3"/>
            </w:tcBorders>
          </w:tcPr>
          <w:p w:rsidR="00AA1902" w:rsidRPr="00B565FC" w:rsidRDefault="00AA1902" w:rsidP="0040029E">
            <w:r w:rsidRPr="00B565FC">
              <w:t>Amount between £16,000 and £60,000</w:t>
            </w:r>
          </w:p>
        </w:tc>
        <w:tc>
          <w:tcPr>
            <w:tcW w:w="2126" w:type="dxa"/>
            <w:tcBorders>
              <w:left w:val="single" w:sz="8" w:space="0" w:color="9BBB59" w:themeColor="accent3"/>
            </w:tcBorders>
          </w:tcPr>
          <w:p w:rsidR="00AA1902" w:rsidRPr="00B565FC" w:rsidRDefault="004D519C" w:rsidP="0040029E">
            <w:pPr>
              <w:cnfStyle w:val="000000000000" w:firstRow="0" w:lastRow="0" w:firstColumn="0" w:lastColumn="0" w:oddVBand="0" w:evenVBand="0" w:oddHBand="0" w:evenHBand="0" w:firstRowFirstColumn="0" w:firstRowLastColumn="0" w:lastRowFirstColumn="0" w:lastRowLastColumn="0"/>
            </w:pPr>
            <w:r w:rsidRPr="004D519C">
              <w:t>Payable as three instalments</w:t>
            </w:r>
          </w:p>
        </w:tc>
        <w:tc>
          <w:tcPr>
            <w:tcW w:w="4394" w:type="dxa"/>
            <w:tcBorders>
              <w:left w:val="single" w:sz="8" w:space="0" w:color="9BBB59" w:themeColor="accent3"/>
            </w:tcBorders>
          </w:tcPr>
          <w:p w:rsidR="004D519C" w:rsidRDefault="004D519C" w:rsidP="004D519C">
            <w:pPr>
              <w:cnfStyle w:val="000000000000" w:firstRow="0" w:lastRow="0" w:firstColumn="0" w:lastColumn="0" w:oddVBand="0" w:evenVBand="0" w:oddHBand="0" w:evenHBand="0" w:firstRowFirstColumn="0" w:firstRowLastColumn="0" w:lastRowFirstColumn="0" w:lastRowLastColumn="0"/>
            </w:pPr>
            <w:r>
              <w:t>1st instalment of 20% payable within 90 days of commencement date; and</w:t>
            </w:r>
          </w:p>
          <w:p w:rsidR="004D519C" w:rsidRDefault="004D519C" w:rsidP="004D519C">
            <w:pPr>
              <w:cnfStyle w:val="000000000000" w:firstRow="0" w:lastRow="0" w:firstColumn="0" w:lastColumn="0" w:oddVBand="0" w:evenVBand="0" w:oddHBand="0" w:evenHBand="0" w:firstRowFirstColumn="0" w:firstRowLastColumn="0" w:lastRowFirstColumn="0" w:lastRowLastColumn="0"/>
            </w:pPr>
          </w:p>
          <w:p w:rsidR="004D519C" w:rsidRDefault="004D519C" w:rsidP="004D519C">
            <w:pPr>
              <w:cnfStyle w:val="000000000000" w:firstRow="0" w:lastRow="0" w:firstColumn="0" w:lastColumn="0" w:oddVBand="0" w:evenVBand="0" w:oddHBand="0" w:evenHBand="0" w:firstRowFirstColumn="0" w:firstRowLastColumn="0" w:lastRowFirstColumn="0" w:lastRowLastColumn="0"/>
            </w:pPr>
            <w:r>
              <w:t>2nd instalment of 20% payable within 360 days of commencement date.</w:t>
            </w:r>
          </w:p>
          <w:p w:rsidR="004D519C" w:rsidRDefault="004D519C" w:rsidP="004D519C">
            <w:pPr>
              <w:cnfStyle w:val="000000000000" w:firstRow="0" w:lastRow="0" w:firstColumn="0" w:lastColumn="0" w:oddVBand="0" w:evenVBand="0" w:oddHBand="0" w:evenHBand="0" w:firstRowFirstColumn="0" w:firstRowLastColumn="0" w:lastRowFirstColumn="0" w:lastRowLastColumn="0"/>
            </w:pPr>
          </w:p>
          <w:p w:rsidR="00AA1902" w:rsidRPr="00B565FC" w:rsidRDefault="004D519C" w:rsidP="004D519C">
            <w:pPr>
              <w:cnfStyle w:val="000000000000" w:firstRow="0" w:lastRow="0" w:firstColumn="0" w:lastColumn="0" w:oddVBand="0" w:evenVBand="0" w:oddHBand="0" w:evenHBand="0" w:firstRowFirstColumn="0" w:firstRowLastColumn="0" w:lastRowFirstColumn="0" w:lastRowLastColumn="0"/>
            </w:pPr>
            <w:r>
              <w:t>3rd instalment of 60% payable within 540 days of commencement date.</w:t>
            </w:r>
          </w:p>
        </w:tc>
      </w:tr>
      <w:tr w:rsidR="00AA1902" w:rsidTr="00B95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single" w:sz="8" w:space="0" w:color="9BBB59" w:themeColor="accent3"/>
            </w:tcBorders>
          </w:tcPr>
          <w:p w:rsidR="00AA1902" w:rsidRPr="00D410F5" w:rsidRDefault="00AA1902" w:rsidP="0040029E">
            <w:r w:rsidRPr="00D410F5">
              <w:t>Amount between £60,000 and £300,000</w:t>
            </w:r>
          </w:p>
        </w:tc>
        <w:tc>
          <w:tcPr>
            <w:tcW w:w="2126" w:type="dxa"/>
            <w:tcBorders>
              <w:left w:val="single" w:sz="8" w:space="0" w:color="9BBB59" w:themeColor="accent3"/>
            </w:tcBorders>
          </w:tcPr>
          <w:p w:rsidR="00AA1902" w:rsidRPr="00D410F5" w:rsidRDefault="00AA1902" w:rsidP="0040029E">
            <w:pPr>
              <w:cnfStyle w:val="000000100000" w:firstRow="0" w:lastRow="0" w:firstColumn="0" w:lastColumn="0" w:oddVBand="0" w:evenVBand="0" w:oddHBand="1" w:evenHBand="0" w:firstRowFirstColumn="0" w:firstRowLastColumn="0" w:lastRowFirstColumn="0" w:lastRowLastColumn="0"/>
            </w:pPr>
            <w:r w:rsidRPr="00D410F5">
              <w:t>Payable as three instalments</w:t>
            </w:r>
          </w:p>
        </w:tc>
        <w:tc>
          <w:tcPr>
            <w:tcW w:w="4394" w:type="dxa"/>
            <w:tcBorders>
              <w:left w:val="single" w:sz="8" w:space="0" w:color="9BBB59" w:themeColor="accent3"/>
            </w:tcBorders>
          </w:tcPr>
          <w:p w:rsidR="004D519C" w:rsidRDefault="004D519C" w:rsidP="004D519C">
            <w:pPr>
              <w:cnfStyle w:val="000000100000" w:firstRow="0" w:lastRow="0" w:firstColumn="0" w:lastColumn="0" w:oddVBand="0" w:evenVBand="0" w:oddHBand="1" w:evenHBand="0" w:firstRowFirstColumn="0" w:firstRowLastColumn="0" w:lastRowFirstColumn="0" w:lastRowLastColumn="0"/>
            </w:pPr>
            <w:r>
              <w:t>1st instalment of 20% payable within 90 days of commencement date</w:t>
            </w:r>
          </w:p>
          <w:p w:rsidR="004D519C" w:rsidRDefault="004D519C" w:rsidP="004D519C">
            <w:pPr>
              <w:cnfStyle w:val="000000100000" w:firstRow="0" w:lastRow="0" w:firstColumn="0" w:lastColumn="0" w:oddVBand="0" w:evenVBand="0" w:oddHBand="1" w:evenHBand="0" w:firstRowFirstColumn="0" w:firstRowLastColumn="0" w:lastRowFirstColumn="0" w:lastRowLastColumn="0"/>
            </w:pPr>
          </w:p>
          <w:p w:rsidR="004D519C" w:rsidRDefault="004D519C" w:rsidP="004D519C">
            <w:pPr>
              <w:cnfStyle w:val="000000100000" w:firstRow="0" w:lastRow="0" w:firstColumn="0" w:lastColumn="0" w:oddVBand="0" w:evenVBand="0" w:oddHBand="1" w:evenHBand="0" w:firstRowFirstColumn="0" w:firstRowLastColumn="0" w:lastRowFirstColumn="0" w:lastRowLastColumn="0"/>
            </w:pPr>
            <w:r>
              <w:t>2nd instalment of 20% payable within 360 days of commencement date</w:t>
            </w:r>
          </w:p>
          <w:p w:rsidR="004D519C" w:rsidRDefault="004D519C" w:rsidP="004D519C">
            <w:pPr>
              <w:cnfStyle w:val="000000100000" w:firstRow="0" w:lastRow="0" w:firstColumn="0" w:lastColumn="0" w:oddVBand="0" w:evenVBand="0" w:oddHBand="1" w:evenHBand="0" w:firstRowFirstColumn="0" w:firstRowLastColumn="0" w:lastRowFirstColumn="0" w:lastRowLastColumn="0"/>
            </w:pPr>
          </w:p>
          <w:p w:rsidR="00AA1902" w:rsidRPr="00D410F5" w:rsidRDefault="004D519C" w:rsidP="004D519C">
            <w:pPr>
              <w:cnfStyle w:val="000000100000" w:firstRow="0" w:lastRow="0" w:firstColumn="0" w:lastColumn="0" w:oddVBand="0" w:evenVBand="0" w:oddHBand="1" w:evenHBand="0" w:firstRowFirstColumn="0" w:firstRowLastColumn="0" w:lastRowFirstColumn="0" w:lastRowLastColumn="0"/>
            </w:pPr>
            <w:r>
              <w:t>3rd instalment of 60% payable within 720 days of commencement date</w:t>
            </w:r>
          </w:p>
        </w:tc>
      </w:tr>
      <w:tr w:rsidR="004D519C" w:rsidTr="00B957BE">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9BBB59" w:themeColor="accent3"/>
              <w:bottom w:val="single" w:sz="8" w:space="0" w:color="9BBB59" w:themeColor="accent3"/>
              <w:right w:val="single" w:sz="8" w:space="0" w:color="9BBB59" w:themeColor="accent3"/>
            </w:tcBorders>
          </w:tcPr>
          <w:p w:rsidR="004D519C" w:rsidRPr="007566CA" w:rsidRDefault="004D519C" w:rsidP="0064034D">
            <w:r w:rsidRPr="007566CA">
              <w:t>Amount between £300,000 and £750,000</w:t>
            </w:r>
          </w:p>
        </w:tc>
        <w:tc>
          <w:tcPr>
            <w:tcW w:w="2126" w:type="dxa"/>
            <w:tcBorders>
              <w:left w:val="single" w:sz="8" w:space="0" w:color="9BBB59" w:themeColor="accent3"/>
            </w:tcBorders>
          </w:tcPr>
          <w:p w:rsidR="004D519C" w:rsidRPr="007566CA" w:rsidRDefault="004D519C" w:rsidP="0064034D">
            <w:pPr>
              <w:cnfStyle w:val="000000000000" w:firstRow="0" w:lastRow="0" w:firstColumn="0" w:lastColumn="0" w:oddVBand="0" w:evenVBand="0" w:oddHBand="0" w:evenHBand="0" w:firstRowFirstColumn="0" w:firstRowLastColumn="0" w:lastRowFirstColumn="0" w:lastRowLastColumn="0"/>
            </w:pPr>
            <w:r w:rsidRPr="007566CA">
              <w:t>Payable as four instalments</w:t>
            </w:r>
          </w:p>
        </w:tc>
        <w:tc>
          <w:tcPr>
            <w:tcW w:w="4394" w:type="dxa"/>
            <w:tcBorders>
              <w:left w:val="single" w:sz="8" w:space="0" w:color="9BBB59" w:themeColor="accent3"/>
            </w:tcBorders>
          </w:tcPr>
          <w:p w:rsidR="004D519C" w:rsidRDefault="004D519C" w:rsidP="0064034D">
            <w:pPr>
              <w:cnfStyle w:val="000000000000" w:firstRow="0" w:lastRow="0" w:firstColumn="0" w:lastColumn="0" w:oddVBand="0" w:evenVBand="0" w:oddHBand="0" w:evenHBand="0" w:firstRowFirstColumn="0" w:firstRowLastColumn="0" w:lastRowFirstColumn="0" w:lastRowLastColumn="0"/>
            </w:pPr>
            <w:r w:rsidRPr="007566CA">
              <w:t>1st instalment of 20% payable within 90 days of commencement date</w:t>
            </w:r>
          </w:p>
          <w:p w:rsidR="004D519C" w:rsidRDefault="004D519C" w:rsidP="004D519C">
            <w:pPr>
              <w:cnfStyle w:val="000000000000" w:firstRow="0" w:lastRow="0" w:firstColumn="0" w:lastColumn="0" w:oddVBand="0" w:evenVBand="0" w:oddHBand="0" w:evenHBand="0" w:firstRowFirstColumn="0" w:firstRowLastColumn="0" w:lastRowFirstColumn="0" w:lastRowLastColumn="0"/>
            </w:pPr>
          </w:p>
          <w:p w:rsidR="004D519C" w:rsidRDefault="004D519C" w:rsidP="004D519C">
            <w:pPr>
              <w:cnfStyle w:val="000000000000" w:firstRow="0" w:lastRow="0" w:firstColumn="0" w:lastColumn="0" w:oddVBand="0" w:evenVBand="0" w:oddHBand="0" w:evenHBand="0" w:firstRowFirstColumn="0" w:firstRowLastColumn="0" w:lastRowFirstColumn="0" w:lastRowLastColumn="0"/>
            </w:pPr>
            <w:r>
              <w:t>2nd instalment of 20% payable within 360 days of commencement date</w:t>
            </w:r>
          </w:p>
          <w:p w:rsidR="004D519C" w:rsidRDefault="004D519C" w:rsidP="004D519C">
            <w:pPr>
              <w:cnfStyle w:val="000000000000" w:firstRow="0" w:lastRow="0" w:firstColumn="0" w:lastColumn="0" w:oddVBand="0" w:evenVBand="0" w:oddHBand="0" w:evenHBand="0" w:firstRowFirstColumn="0" w:firstRowLastColumn="0" w:lastRowFirstColumn="0" w:lastRowLastColumn="0"/>
            </w:pPr>
          </w:p>
          <w:p w:rsidR="004D519C" w:rsidRDefault="004D519C" w:rsidP="004D519C">
            <w:pPr>
              <w:cnfStyle w:val="000000000000" w:firstRow="0" w:lastRow="0" w:firstColumn="0" w:lastColumn="0" w:oddVBand="0" w:evenVBand="0" w:oddHBand="0" w:evenHBand="0" w:firstRowFirstColumn="0" w:firstRowLastColumn="0" w:lastRowFirstColumn="0" w:lastRowLastColumn="0"/>
            </w:pPr>
            <w:r>
              <w:t>3rd instalment of 20% payable within 720 days of commencement date</w:t>
            </w:r>
          </w:p>
          <w:p w:rsidR="004D519C" w:rsidRDefault="004D519C" w:rsidP="004D519C">
            <w:pPr>
              <w:cnfStyle w:val="000000000000" w:firstRow="0" w:lastRow="0" w:firstColumn="0" w:lastColumn="0" w:oddVBand="0" w:evenVBand="0" w:oddHBand="0" w:evenHBand="0" w:firstRowFirstColumn="0" w:firstRowLastColumn="0" w:lastRowFirstColumn="0" w:lastRowLastColumn="0"/>
            </w:pPr>
          </w:p>
          <w:p w:rsidR="004D519C" w:rsidRPr="007566CA" w:rsidRDefault="004D519C" w:rsidP="004D519C">
            <w:pPr>
              <w:cnfStyle w:val="000000000000" w:firstRow="0" w:lastRow="0" w:firstColumn="0" w:lastColumn="0" w:oddVBand="0" w:evenVBand="0" w:oddHBand="0" w:evenHBand="0" w:firstRowFirstColumn="0" w:firstRowLastColumn="0" w:lastRowFirstColumn="0" w:lastRowLastColumn="0"/>
            </w:pPr>
            <w:r>
              <w:t>4th instalment of 40% payable within 1080 days of commencement date</w:t>
            </w:r>
          </w:p>
        </w:tc>
      </w:tr>
      <w:tr w:rsidR="00AA1902" w:rsidTr="00B95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single" w:sz="8" w:space="0" w:color="9BBB59" w:themeColor="accent3"/>
            </w:tcBorders>
          </w:tcPr>
          <w:p w:rsidR="00AA1902" w:rsidRPr="008951B5" w:rsidRDefault="004D519C" w:rsidP="0040029E">
            <w:r>
              <w:t>Amount over £750</w:t>
            </w:r>
            <w:r w:rsidR="00AA1902" w:rsidRPr="008951B5">
              <w:t>,000</w:t>
            </w:r>
          </w:p>
        </w:tc>
        <w:tc>
          <w:tcPr>
            <w:tcW w:w="2126" w:type="dxa"/>
            <w:tcBorders>
              <w:left w:val="single" w:sz="8" w:space="0" w:color="9BBB59" w:themeColor="accent3"/>
            </w:tcBorders>
          </w:tcPr>
          <w:p w:rsidR="00AA1902" w:rsidRDefault="00AA1902" w:rsidP="0040029E">
            <w:pPr>
              <w:cnfStyle w:val="000000100000" w:firstRow="0" w:lastRow="0" w:firstColumn="0" w:lastColumn="0" w:oddVBand="0" w:evenVBand="0" w:oddHBand="1" w:evenHBand="0" w:firstRowFirstColumn="0" w:firstRowLastColumn="0" w:lastRowFirstColumn="0" w:lastRowLastColumn="0"/>
            </w:pPr>
            <w:r w:rsidRPr="008951B5">
              <w:t>Payable as four instalments</w:t>
            </w:r>
          </w:p>
        </w:tc>
        <w:tc>
          <w:tcPr>
            <w:tcW w:w="4394" w:type="dxa"/>
            <w:tcBorders>
              <w:left w:val="single" w:sz="8" w:space="0" w:color="9BBB59" w:themeColor="accent3"/>
            </w:tcBorders>
          </w:tcPr>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r w:rsidRPr="004D519C">
              <w:rPr>
                <w:rFonts w:cs="Arial"/>
              </w:rPr>
              <w:t>1st instalment of 10% payable within 90 days of commencement date</w:t>
            </w:r>
          </w:p>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p>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r w:rsidRPr="004D519C">
              <w:rPr>
                <w:rFonts w:cs="Arial"/>
              </w:rPr>
              <w:t>2nd instalment of 20% payable within 540 days of commencement date</w:t>
            </w:r>
          </w:p>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p>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r w:rsidRPr="004D519C">
              <w:rPr>
                <w:rFonts w:cs="Arial"/>
              </w:rPr>
              <w:t>3rd instalment of 20% payable within 1080 days of commencement date</w:t>
            </w:r>
          </w:p>
          <w:p w:rsidR="004D519C" w:rsidRPr="004D519C"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p>
          <w:p w:rsidR="00AA1902" w:rsidRDefault="004D519C" w:rsidP="004D519C">
            <w:pPr>
              <w:cnfStyle w:val="000000100000" w:firstRow="0" w:lastRow="0" w:firstColumn="0" w:lastColumn="0" w:oddVBand="0" w:evenVBand="0" w:oddHBand="1" w:evenHBand="0" w:firstRowFirstColumn="0" w:firstRowLastColumn="0" w:lastRowFirstColumn="0" w:lastRowLastColumn="0"/>
              <w:rPr>
                <w:rFonts w:cs="Arial"/>
              </w:rPr>
            </w:pPr>
            <w:r w:rsidRPr="004D519C">
              <w:rPr>
                <w:rFonts w:cs="Arial"/>
              </w:rPr>
              <w:t>4th instalment of 50% payable within 1800 days of commencement date</w:t>
            </w:r>
          </w:p>
        </w:tc>
      </w:tr>
      <w:tr w:rsidR="00CC59AC" w:rsidTr="00B957BE">
        <w:tc>
          <w:tcPr>
            <w:cnfStyle w:val="001000000000" w:firstRow="0" w:lastRow="0" w:firstColumn="1" w:lastColumn="0" w:oddVBand="0" w:evenVBand="0" w:oddHBand="0" w:evenHBand="0" w:firstRowFirstColumn="0" w:firstRowLastColumn="0" w:lastRowFirstColumn="0" w:lastRowLastColumn="0"/>
            <w:tcW w:w="9639" w:type="dxa"/>
            <w:gridSpan w:val="3"/>
          </w:tcPr>
          <w:p w:rsidR="00CC59AC" w:rsidRPr="00B957BE" w:rsidRDefault="00CC59AC" w:rsidP="00CC59AC">
            <w:pPr>
              <w:rPr>
                <w:rFonts w:cs="Arial"/>
              </w:rPr>
            </w:pPr>
            <w:r w:rsidRPr="00B957BE">
              <w:rPr>
                <w:rFonts w:cs="Arial"/>
              </w:rPr>
              <w:t>1. Where an outline planning permission permits development to be implemented in phases, each phase of the development is a separate chargeable development and will be collected in accordance with this Instalment Policy.</w:t>
            </w:r>
          </w:p>
          <w:p w:rsidR="00B957BE" w:rsidRDefault="00B957BE" w:rsidP="00CC59AC">
            <w:pPr>
              <w:rPr>
                <w:rFonts w:cs="Arial"/>
              </w:rPr>
            </w:pPr>
          </w:p>
          <w:p w:rsidR="00CC59AC" w:rsidRDefault="00B957BE" w:rsidP="00CC59AC">
            <w:pPr>
              <w:rPr>
                <w:rFonts w:cs="Arial"/>
              </w:rPr>
            </w:pPr>
            <w:r>
              <w:rPr>
                <w:rFonts w:cs="Arial"/>
              </w:rPr>
              <w:t>2</w:t>
            </w:r>
            <w:r w:rsidR="00CC59AC" w:rsidRPr="00B957BE">
              <w:rPr>
                <w:rFonts w:cs="Arial"/>
              </w:rPr>
              <w:t>. Nothing in this Instalment Policy prevents the person with assumed liability to pay CIL, to pay the outstanding CIL (in whole or in part) in advance of the instalment period set out in this policy.</w:t>
            </w:r>
          </w:p>
        </w:tc>
      </w:tr>
    </w:tbl>
    <w:p w:rsidR="00D10A2D" w:rsidRPr="00B957BE" w:rsidRDefault="00D10A2D" w:rsidP="00B957BE">
      <w:pPr>
        <w:spacing w:after="0" w:line="240" w:lineRule="auto"/>
      </w:pPr>
    </w:p>
    <w:sectPr w:rsidR="00D10A2D" w:rsidRPr="00B95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84" w:rsidRDefault="00DC7A84" w:rsidP="007C15E5">
      <w:pPr>
        <w:spacing w:after="0" w:line="240" w:lineRule="auto"/>
      </w:pPr>
      <w:r>
        <w:separator/>
      </w:r>
    </w:p>
  </w:endnote>
  <w:endnote w:type="continuationSeparator" w:id="0">
    <w:p w:rsidR="00DC7A84" w:rsidRDefault="00DC7A84" w:rsidP="007C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99"/>
      <w:docPartObj>
        <w:docPartGallery w:val="Page Numbers (Bottom of Page)"/>
        <w:docPartUnique/>
      </w:docPartObj>
    </w:sdtPr>
    <w:sdtEndPr>
      <w:rPr>
        <w:noProof/>
      </w:rPr>
    </w:sdtEndPr>
    <w:sdtContent>
      <w:p w:rsidR="00DC7A84" w:rsidRDefault="00DC7A84">
        <w:pPr>
          <w:pStyle w:val="Footer"/>
          <w:jc w:val="right"/>
        </w:pPr>
        <w:r>
          <w:fldChar w:fldCharType="begin"/>
        </w:r>
        <w:r>
          <w:instrText xml:space="preserve"> PAGE   \* MERGEFORMAT </w:instrText>
        </w:r>
        <w:r>
          <w:fldChar w:fldCharType="separate"/>
        </w:r>
        <w:r w:rsidR="00584F1E">
          <w:rPr>
            <w:noProof/>
          </w:rPr>
          <w:t>2</w:t>
        </w:r>
        <w:r>
          <w:rPr>
            <w:noProof/>
          </w:rPr>
          <w:fldChar w:fldCharType="end"/>
        </w:r>
      </w:p>
    </w:sdtContent>
  </w:sdt>
  <w:p w:rsidR="00DC7A84" w:rsidRDefault="00DC7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84" w:rsidRDefault="00DC7A84" w:rsidP="007C15E5">
      <w:pPr>
        <w:spacing w:after="0" w:line="240" w:lineRule="auto"/>
      </w:pPr>
      <w:r>
        <w:separator/>
      </w:r>
    </w:p>
  </w:footnote>
  <w:footnote w:type="continuationSeparator" w:id="0">
    <w:p w:rsidR="00DC7A84" w:rsidRDefault="00DC7A84" w:rsidP="007C15E5">
      <w:pPr>
        <w:spacing w:after="0" w:line="240" w:lineRule="auto"/>
      </w:pPr>
      <w:r>
        <w:continuationSeparator/>
      </w:r>
    </w:p>
  </w:footnote>
  <w:footnote w:id="1">
    <w:p w:rsidR="00DC7A84" w:rsidRDefault="00DC7A84">
      <w:pPr>
        <w:pStyle w:val="FootnoteText"/>
      </w:pPr>
      <w:r>
        <w:rPr>
          <w:rStyle w:val="FootnoteReference"/>
        </w:rPr>
        <w:footnoteRef/>
      </w:r>
      <w:r>
        <w:t xml:space="preserve"> S</w:t>
      </w:r>
      <w:r w:rsidRPr="00556121">
        <w:t xml:space="preserve">ee </w:t>
      </w:r>
      <w:r w:rsidR="006815DC">
        <w:t>Section</w:t>
      </w:r>
      <w:r w:rsidRPr="00556121">
        <w:t xml:space="preserve"> 56(4) of the Town and Country Planning Act 1990</w:t>
      </w:r>
      <w:r>
        <w:t xml:space="preserve">: </w:t>
      </w:r>
      <w:hyperlink r:id="rId1" w:history="1">
        <w:r w:rsidRPr="00B51C07">
          <w:rPr>
            <w:rStyle w:val="Hyperlink"/>
          </w:rPr>
          <w:t>http://www.legislation.gov.uk/ukpga/1990/8/</w:t>
        </w:r>
        <w:r w:rsidR="006815DC">
          <w:rPr>
            <w:rStyle w:val="Hyperlink"/>
          </w:rPr>
          <w:t>Section</w:t>
        </w:r>
        <w:r w:rsidRPr="00B51C07">
          <w:rPr>
            <w:rStyle w:val="Hyperlink"/>
          </w:rPr>
          <w:t>/56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84" w:rsidRDefault="00DC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B5"/>
    <w:multiLevelType w:val="hybridMultilevel"/>
    <w:tmpl w:val="620A85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340639F"/>
    <w:multiLevelType w:val="hybridMultilevel"/>
    <w:tmpl w:val="3DE4CF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060D5AC0"/>
    <w:multiLevelType w:val="hybridMultilevel"/>
    <w:tmpl w:val="9D16D0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96633BD"/>
    <w:multiLevelType w:val="hybridMultilevel"/>
    <w:tmpl w:val="412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53A4"/>
    <w:multiLevelType w:val="hybridMultilevel"/>
    <w:tmpl w:val="E7FAE2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7275B25"/>
    <w:multiLevelType w:val="hybridMultilevel"/>
    <w:tmpl w:val="E272E0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8342600"/>
    <w:multiLevelType w:val="hybridMultilevel"/>
    <w:tmpl w:val="0890B5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D7434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300475"/>
    <w:multiLevelType w:val="multilevel"/>
    <w:tmpl w:val="45321B2E"/>
    <w:lvl w:ilvl="0">
      <w:start w:val="1"/>
      <w:numFmt w:val="decimal"/>
      <w:lvlText w:val="%1."/>
      <w:lvlJc w:val="left"/>
      <w:pPr>
        <w:ind w:left="360" w:hanging="360"/>
      </w:pPr>
      <w:rPr>
        <w:rFonts w:hint="default"/>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CD42DA"/>
    <w:multiLevelType w:val="hybridMultilevel"/>
    <w:tmpl w:val="693CB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B566F7"/>
    <w:multiLevelType w:val="hybridMultilevel"/>
    <w:tmpl w:val="B22E2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4166B0"/>
    <w:multiLevelType w:val="hybridMultilevel"/>
    <w:tmpl w:val="7828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F960F1"/>
    <w:multiLevelType w:val="hybridMultilevel"/>
    <w:tmpl w:val="AF2835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57E40495"/>
    <w:multiLevelType w:val="hybridMultilevel"/>
    <w:tmpl w:val="DD9A05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2661C56"/>
    <w:multiLevelType w:val="hybridMultilevel"/>
    <w:tmpl w:val="16E81B1A"/>
    <w:lvl w:ilvl="0" w:tplc="13E21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367CC0"/>
    <w:multiLevelType w:val="hybridMultilevel"/>
    <w:tmpl w:val="ACC204B6"/>
    <w:lvl w:ilvl="0" w:tplc="7DAA7A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9076E16"/>
    <w:multiLevelType w:val="hybridMultilevel"/>
    <w:tmpl w:val="30C0820A"/>
    <w:lvl w:ilvl="0" w:tplc="BB320354">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CEE2DB5"/>
    <w:multiLevelType w:val="hybridMultilevel"/>
    <w:tmpl w:val="C5EA3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970782"/>
    <w:multiLevelType w:val="hybridMultilevel"/>
    <w:tmpl w:val="56487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8"/>
  </w:num>
  <w:num w:numId="4">
    <w:abstractNumId w:val="1"/>
  </w:num>
  <w:num w:numId="5">
    <w:abstractNumId w:val="7"/>
  </w:num>
  <w:num w:numId="6">
    <w:abstractNumId w:val="2"/>
  </w:num>
  <w:num w:numId="7">
    <w:abstractNumId w:val="0"/>
  </w:num>
  <w:num w:numId="8">
    <w:abstractNumId w:val="12"/>
  </w:num>
  <w:num w:numId="9">
    <w:abstractNumId w:val="9"/>
  </w:num>
  <w:num w:numId="10">
    <w:abstractNumId w:val="4"/>
  </w:num>
  <w:num w:numId="11">
    <w:abstractNumId w:val="13"/>
  </w:num>
  <w:num w:numId="12">
    <w:abstractNumId w:val="17"/>
  </w:num>
  <w:num w:numId="13">
    <w:abstractNumId w:val="15"/>
  </w:num>
  <w:num w:numId="14">
    <w:abstractNumId w:val="16"/>
  </w:num>
  <w:num w:numId="15">
    <w:abstractNumId w:val="5"/>
  </w:num>
  <w:num w:numId="16">
    <w:abstractNumId w:val="11"/>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FA"/>
    <w:rsid w:val="000016DE"/>
    <w:rsid w:val="000030D0"/>
    <w:rsid w:val="00004F96"/>
    <w:rsid w:val="000124AE"/>
    <w:rsid w:val="00013265"/>
    <w:rsid w:val="000142A5"/>
    <w:rsid w:val="00022A35"/>
    <w:rsid w:val="000354B3"/>
    <w:rsid w:val="00035B4E"/>
    <w:rsid w:val="00036ECE"/>
    <w:rsid w:val="000376E4"/>
    <w:rsid w:val="00041195"/>
    <w:rsid w:val="00042171"/>
    <w:rsid w:val="00054D58"/>
    <w:rsid w:val="0005589F"/>
    <w:rsid w:val="00073535"/>
    <w:rsid w:val="000735B2"/>
    <w:rsid w:val="000757FB"/>
    <w:rsid w:val="00077539"/>
    <w:rsid w:val="000847CF"/>
    <w:rsid w:val="000B5820"/>
    <w:rsid w:val="000C1A87"/>
    <w:rsid w:val="000C2ED0"/>
    <w:rsid w:val="000D1CC7"/>
    <w:rsid w:val="000E3FAD"/>
    <w:rsid w:val="000F5C41"/>
    <w:rsid w:val="001016E6"/>
    <w:rsid w:val="0010334C"/>
    <w:rsid w:val="001039D0"/>
    <w:rsid w:val="001052A2"/>
    <w:rsid w:val="00105604"/>
    <w:rsid w:val="00110BD3"/>
    <w:rsid w:val="00112C37"/>
    <w:rsid w:val="00120983"/>
    <w:rsid w:val="00123EEF"/>
    <w:rsid w:val="001416E7"/>
    <w:rsid w:val="0014337D"/>
    <w:rsid w:val="0014390E"/>
    <w:rsid w:val="001478A6"/>
    <w:rsid w:val="00147BC3"/>
    <w:rsid w:val="00156AF4"/>
    <w:rsid w:val="001578D7"/>
    <w:rsid w:val="0016109C"/>
    <w:rsid w:val="001619F3"/>
    <w:rsid w:val="00162BD4"/>
    <w:rsid w:val="00191791"/>
    <w:rsid w:val="00192568"/>
    <w:rsid w:val="001A0E31"/>
    <w:rsid w:val="001A5E17"/>
    <w:rsid w:val="001B29F9"/>
    <w:rsid w:val="001D1E97"/>
    <w:rsid w:val="001E1605"/>
    <w:rsid w:val="001F15DD"/>
    <w:rsid w:val="00200728"/>
    <w:rsid w:val="002033CB"/>
    <w:rsid w:val="002040A9"/>
    <w:rsid w:val="002102EA"/>
    <w:rsid w:val="00242364"/>
    <w:rsid w:val="00247EFE"/>
    <w:rsid w:val="00252E5E"/>
    <w:rsid w:val="00254E02"/>
    <w:rsid w:val="0025631D"/>
    <w:rsid w:val="00263CEA"/>
    <w:rsid w:val="00271547"/>
    <w:rsid w:val="002734CC"/>
    <w:rsid w:val="002765F4"/>
    <w:rsid w:val="00277058"/>
    <w:rsid w:val="00280F20"/>
    <w:rsid w:val="00286E1F"/>
    <w:rsid w:val="00292A25"/>
    <w:rsid w:val="00292DC9"/>
    <w:rsid w:val="002A12AE"/>
    <w:rsid w:val="002C5B54"/>
    <w:rsid w:val="002C621D"/>
    <w:rsid w:val="002F2125"/>
    <w:rsid w:val="002F37CE"/>
    <w:rsid w:val="002F6285"/>
    <w:rsid w:val="003040B1"/>
    <w:rsid w:val="003169D8"/>
    <w:rsid w:val="00316E2F"/>
    <w:rsid w:val="00323CD6"/>
    <w:rsid w:val="00335BEB"/>
    <w:rsid w:val="00335F79"/>
    <w:rsid w:val="00336DB0"/>
    <w:rsid w:val="00343524"/>
    <w:rsid w:val="003478D5"/>
    <w:rsid w:val="00353B4C"/>
    <w:rsid w:val="003541EE"/>
    <w:rsid w:val="00354B18"/>
    <w:rsid w:val="00360F64"/>
    <w:rsid w:val="003648C0"/>
    <w:rsid w:val="003814C1"/>
    <w:rsid w:val="00381FF4"/>
    <w:rsid w:val="00385F1D"/>
    <w:rsid w:val="00390037"/>
    <w:rsid w:val="0039156F"/>
    <w:rsid w:val="003A3EA8"/>
    <w:rsid w:val="003A5C84"/>
    <w:rsid w:val="003B2CF3"/>
    <w:rsid w:val="003B43D5"/>
    <w:rsid w:val="003B4E5D"/>
    <w:rsid w:val="003C110B"/>
    <w:rsid w:val="003C79C9"/>
    <w:rsid w:val="003D33C3"/>
    <w:rsid w:val="003D75F8"/>
    <w:rsid w:val="003E72F3"/>
    <w:rsid w:val="003F0B8C"/>
    <w:rsid w:val="003F41A6"/>
    <w:rsid w:val="0040029E"/>
    <w:rsid w:val="00400B92"/>
    <w:rsid w:val="00411B3A"/>
    <w:rsid w:val="00431449"/>
    <w:rsid w:val="00431616"/>
    <w:rsid w:val="00431E1E"/>
    <w:rsid w:val="00433FD3"/>
    <w:rsid w:val="00434BB8"/>
    <w:rsid w:val="0044185D"/>
    <w:rsid w:val="00441CCE"/>
    <w:rsid w:val="00446DDF"/>
    <w:rsid w:val="00447004"/>
    <w:rsid w:val="0045351E"/>
    <w:rsid w:val="00461675"/>
    <w:rsid w:val="0046348F"/>
    <w:rsid w:val="00466F48"/>
    <w:rsid w:val="00474336"/>
    <w:rsid w:val="00482AD4"/>
    <w:rsid w:val="00483048"/>
    <w:rsid w:val="0049018B"/>
    <w:rsid w:val="00497657"/>
    <w:rsid w:val="004A0E4F"/>
    <w:rsid w:val="004A0FCB"/>
    <w:rsid w:val="004B0FFF"/>
    <w:rsid w:val="004B7730"/>
    <w:rsid w:val="004C72D4"/>
    <w:rsid w:val="004D3F57"/>
    <w:rsid w:val="004D519C"/>
    <w:rsid w:val="004D5CFD"/>
    <w:rsid w:val="004E0EDB"/>
    <w:rsid w:val="004E2CAB"/>
    <w:rsid w:val="004E4903"/>
    <w:rsid w:val="004F0BF6"/>
    <w:rsid w:val="004F7309"/>
    <w:rsid w:val="005117E7"/>
    <w:rsid w:val="005351B4"/>
    <w:rsid w:val="005460B4"/>
    <w:rsid w:val="00550506"/>
    <w:rsid w:val="00556121"/>
    <w:rsid w:val="00572D52"/>
    <w:rsid w:val="00577649"/>
    <w:rsid w:val="0058085D"/>
    <w:rsid w:val="00580A6B"/>
    <w:rsid w:val="00583A77"/>
    <w:rsid w:val="00583EFA"/>
    <w:rsid w:val="00584F1E"/>
    <w:rsid w:val="0058661A"/>
    <w:rsid w:val="00596683"/>
    <w:rsid w:val="005A3EE5"/>
    <w:rsid w:val="005A6E1B"/>
    <w:rsid w:val="005B0EB0"/>
    <w:rsid w:val="005B2315"/>
    <w:rsid w:val="005D6EC6"/>
    <w:rsid w:val="006019D9"/>
    <w:rsid w:val="00610789"/>
    <w:rsid w:val="0061116D"/>
    <w:rsid w:val="00636D4A"/>
    <w:rsid w:val="006370FD"/>
    <w:rsid w:val="00637F8C"/>
    <w:rsid w:val="00641643"/>
    <w:rsid w:val="006435B8"/>
    <w:rsid w:val="006479B3"/>
    <w:rsid w:val="00671CAF"/>
    <w:rsid w:val="0067212F"/>
    <w:rsid w:val="006815DC"/>
    <w:rsid w:val="006857DA"/>
    <w:rsid w:val="006A0112"/>
    <w:rsid w:val="006B0798"/>
    <w:rsid w:val="006B0A71"/>
    <w:rsid w:val="006B0EA5"/>
    <w:rsid w:val="006B2099"/>
    <w:rsid w:val="006B47F4"/>
    <w:rsid w:val="006C3767"/>
    <w:rsid w:val="006C3BBC"/>
    <w:rsid w:val="006D0772"/>
    <w:rsid w:val="006D0A73"/>
    <w:rsid w:val="006D4ABE"/>
    <w:rsid w:val="006E4376"/>
    <w:rsid w:val="00715676"/>
    <w:rsid w:val="00730596"/>
    <w:rsid w:val="00730623"/>
    <w:rsid w:val="007322CF"/>
    <w:rsid w:val="00741A19"/>
    <w:rsid w:val="0074677B"/>
    <w:rsid w:val="00750B3C"/>
    <w:rsid w:val="00760064"/>
    <w:rsid w:val="00760295"/>
    <w:rsid w:val="007626D6"/>
    <w:rsid w:val="00776951"/>
    <w:rsid w:val="00782C19"/>
    <w:rsid w:val="007845F8"/>
    <w:rsid w:val="007917F3"/>
    <w:rsid w:val="007941A8"/>
    <w:rsid w:val="007B1E0A"/>
    <w:rsid w:val="007B20E0"/>
    <w:rsid w:val="007B64DC"/>
    <w:rsid w:val="007C0461"/>
    <w:rsid w:val="007C15E5"/>
    <w:rsid w:val="007C4FE6"/>
    <w:rsid w:val="007C65A6"/>
    <w:rsid w:val="007C7514"/>
    <w:rsid w:val="007D731A"/>
    <w:rsid w:val="007E6514"/>
    <w:rsid w:val="007F01C8"/>
    <w:rsid w:val="007F2D4F"/>
    <w:rsid w:val="007F30C6"/>
    <w:rsid w:val="007F316A"/>
    <w:rsid w:val="007F54A5"/>
    <w:rsid w:val="007F74F3"/>
    <w:rsid w:val="00801CC8"/>
    <w:rsid w:val="00802F63"/>
    <w:rsid w:val="00804A32"/>
    <w:rsid w:val="00811E66"/>
    <w:rsid w:val="0082557F"/>
    <w:rsid w:val="00831F1C"/>
    <w:rsid w:val="00847472"/>
    <w:rsid w:val="008537ED"/>
    <w:rsid w:val="0086192A"/>
    <w:rsid w:val="00863EBD"/>
    <w:rsid w:val="00864CDA"/>
    <w:rsid w:val="008674B4"/>
    <w:rsid w:val="00874319"/>
    <w:rsid w:val="00874C78"/>
    <w:rsid w:val="008756F2"/>
    <w:rsid w:val="008A2BD2"/>
    <w:rsid w:val="008A5AAB"/>
    <w:rsid w:val="008D4BBE"/>
    <w:rsid w:val="008D57C6"/>
    <w:rsid w:val="008E746E"/>
    <w:rsid w:val="008F503A"/>
    <w:rsid w:val="0090144A"/>
    <w:rsid w:val="00904FCD"/>
    <w:rsid w:val="009109E4"/>
    <w:rsid w:val="00911F34"/>
    <w:rsid w:val="009146E5"/>
    <w:rsid w:val="0091544A"/>
    <w:rsid w:val="009257EC"/>
    <w:rsid w:val="00932590"/>
    <w:rsid w:val="0093286B"/>
    <w:rsid w:val="00932E5E"/>
    <w:rsid w:val="00937305"/>
    <w:rsid w:val="009411A6"/>
    <w:rsid w:val="0095147B"/>
    <w:rsid w:val="0096001D"/>
    <w:rsid w:val="009611F7"/>
    <w:rsid w:val="009656C0"/>
    <w:rsid w:val="0098638A"/>
    <w:rsid w:val="009A711A"/>
    <w:rsid w:val="009B2F4F"/>
    <w:rsid w:val="009B5B20"/>
    <w:rsid w:val="009C17AD"/>
    <w:rsid w:val="009C7540"/>
    <w:rsid w:val="009D6EC4"/>
    <w:rsid w:val="009E2686"/>
    <w:rsid w:val="009F080B"/>
    <w:rsid w:val="009F1584"/>
    <w:rsid w:val="009F2720"/>
    <w:rsid w:val="009F2C0A"/>
    <w:rsid w:val="009F5766"/>
    <w:rsid w:val="009F644C"/>
    <w:rsid w:val="00A0419E"/>
    <w:rsid w:val="00A04E6B"/>
    <w:rsid w:val="00A12896"/>
    <w:rsid w:val="00A12DBE"/>
    <w:rsid w:val="00A26B12"/>
    <w:rsid w:val="00A27151"/>
    <w:rsid w:val="00A32AA3"/>
    <w:rsid w:val="00A36617"/>
    <w:rsid w:val="00A478F6"/>
    <w:rsid w:val="00A56A49"/>
    <w:rsid w:val="00A62D44"/>
    <w:rsid w:val="00A64DAF"/>
    <w:rsid w:val="00A652FD"/>
    <w:rsid w:val="00A710BD"/>
    <w:rsid w:val="00A8086B"/>
    <w:rsid w:val="00A812C7"/>
    <w:rsid w:val="00A81E7A"/>
    <w:rsid w:val="00A869AA"/>
    <w:rsid w:val="00A962E4"/>
    <w:rsid w:val="00AA1902"/>
    <w:rsid w:val="00AA6CB5"/>
    <w:rsid w:val="00AB1AD7"/>
    <w:rsid w:val="00AB28FC"/>
    <w:rsid w:val="00AB3471"/>
    <w:rsid w:val="00AB37E5"/>
    <w:rsid w:val="00AB7E97"/>
    <w:rsid w:val="00AC1ECE"/>
    <w:rsid w:val="00AC71E1"/>
    <w:rsid w:val="00AD6F13"/>
    <w:rsid w:val="00AE0D69"/>
    <w:rsid w:val="00AE130F"/>
    <w:rsid w:val="00AE7B1A"/>
    <w:rsid w:val="00AF3FCF"/>
    <w:rsid w:val="00B01BD6"/>
    <w:rsid w:val="00B0221F"/>
    <w:rsid w:val="00B07327"/>
    <w:rsid w:val="00B13672"/>
    <w:rsid w:val="00B26AC6"/>
    <w:rsid w:val="00B40747"/>
    <w:rsid w:val="00B73713"/>
    <w:rsid w:val="00B73D49"/>
    <w:rsid w:val="00B84DF9"/>
    <w:rsid w:val="00B957BE"/>
    <w:rsid w:val="00B96322"/>
    <w:rsid w:val="00B9769B"/>
    <w:rsid w:val="00BA102D"/>
    <w:rsid w:val="00BA7D78"/>
    <w:rsid w:val="00BB26E2"/>
    <w:rsid w:val="00BC1400"/>
    <w:rsid w:val="00BD5554"/>
    <w:rsid w:val="00BD575E"/>
    <w:rsid w:val="00BE2FC0"/>
    <w:rsid w:val="00BE4709"/>
    <w:rsid w:val="00BE6399"/>
    <w:rsid w:val="00BF19DE"/>
    <w:rsid w:val="00BF5E01"/>
    <w:rsid w:val="00BF6857"/>
    <w:rsid w:val="00C037FC"/>
    <w:rsid w:val="00C07A53"/>
    <w:rsid w:val="00C15E71"/>
    <w:rsid w:val="00C251C2"/>
    <w:rsid w:val="00C355D1"/>
    <w:rsid w:val="00C45BF4"/>
    <w:rsid w:val="00C54AE3"/>
    <w:rsid w:val="00C55325"/>
    <w:rsid w:val="00C555DF"/>
    <w:rsid w:val="00C67331"/>
    <w:rsid w:val="00C7240F"/>
    <w:rsid w:val="00C72BB4"/>
    <w:rsid w:val="00C82248"/>
    <w:rsid w:val="00C82724"/>
    <w:rsid w:val="00C837CB"/>
    <w:rsid w:val="00CA1B37"/>
    <w:rsid w:val="00CA66C0"/>
    <w:rsid w:val="00CB3A54"/>
    <w:rsid w:val="00CC59AC"/>
    <w:rsid w:val="00CD0237"/>
    <w:rsid w:val="00CE745B"/>
    <w:rsid w:val="00D05DB8"/>
    <w:rsid w:val="00D10A2D"/>
    <w:rsid w:val="00D17935"/>
    <w:rsid w:val="00D20BA9"/>
    <w:rsid w:val="00D314ED"/>
    <w:rsid w:val="00D3240B"/>
    <w:rsid w:val="00D3247C"/>
    <w:rsid w:val="00D33673"/>
    <w:rsid w:val="00D3472A"/>
    <w:rsid w:val="00D4504F"/>
    <w:rsid w:val="00D62376"/>
    <w:rsid w:val="00D71F6C"/>
    <w:rsid w:val="00D7364D"/>
    <w:rsid w:val="00D73F55"/>
    <w:rsid w:val="00D746A7"/>
    <w:rsid w:val="00D74B32"/>
    <w:rsid w:val="00D81353"/>
    <w:rsid w:val="00D86C37"/>
    <w:rsid w:val="00D907FA"/>
    <w:rsid w:val="00D9310C"/>
    <w:rsid w:val="00D968F3"/>
    <w:rsid w:val="00DB5503"/>
    <w:rsid w:val="00DB620E"/>
    <w:rsid w:val="00DC4A1F"/>
    <w:rsid w:val="00DC7A84"/>
    <w:rsid w:val="00DD77FC"/>
    <w:rsid w:val="00DE2BEE"/>
    <w:rsid w:val="00DE5E71"/>
    <w:rsid w:val="00DF0579"/>
    <w:rsid w:val="00DF1832"/>
    <w:rsid w:val="00E0144F"/>
    <w:rsid w:val="00E12746"/>
    <w:rsid w:val="00E23075"/>
    <w:rsid w:val="00E25816"/>
    <w:rsid w:val="00E31D84"/>
    <w:rsid w:val="00E32F85"/>
    <w:rsid w:val="00E35613"/>
    <w:rsid w:val="00E37018"/>
    <w:rsid w:val="00E63CDF"/>
    <w:rsid w:val="00E67358"/>
    <w:rsid w:val="00E72AC0"/>
    <w:rsid w:val="00E81888"/>
    <w:rsid w:val="00E83609"/>
    <w:rsid w:val="00E878AC"/>
    <w:rsid w:val="00E91F8B"/>
    <w:rsid w:val="00E941C9"/>
    <w:rsid w:val="00EB0111"/>
    <w:rsid w:val="00EB0A51"/>
    <w:rsid w:val="00EB1FAD"/>
    <w:rsid w:val="00EB2220"/>
    <w:rsid w:val="00EE7699"/>
    <w:rsid w:val="00EF0C4C"/>
    <w:rsid w:val="00EF73A6"/>
    <w:rsid w:val="00F0601D"/>
    <w:rsid w:val="00F100D7"/>
    <w:rsid w:val="00F16BEC"/>
    <w:rsid w:val="00F2001D"/>
    <w:rsid w:val="00F21E89"/>
    <w:rsid w:val="00F4043D"/>
    <w:rsid w:val="00F61C69"/>
    <w:rsid w:val="00F7567F"/>
    <w:rsid w:val="00F8290B"/>
    <w:rsid w:val="00FB59F0"/>
    <w:rsid w:val="00FC6E9B"/>
    <w:rsid w:val="00FC7E0F"/>
    <w:rsid w:val="00FD07CC"/>
    <w:rsid w:val="00FD552D"/>
    <w:rsid w:val="00FD5AE0"/>
    <w:rsid w:val="00FD6BDE"/>
    <w:rsid w:val="00FE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17"/>
    <w:rPr>
      <w:rFonts w:ascii="Arial" w:hAnsi="Arial"/>
    </w:rPr>
  </w:style>
  <w:style w:type="paragraph" w:styleId="Heading1">
    <w:name w:val="heading 1"/>
    <w:basedOn w:val="Normal"/>
    <w:next w:val="Normal"/>
    <w:link w:val="Heading1Char"/>
    <w:uiPriority w:val="9"/>
    <w:qFormat/>
    <w:rsid w:val="00583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AA3"/>
    <w:pPr>
      <w:keepNext/>
      <w:keepLines/>
      <w:spacing w:before="200" w:after="0"/>
      <w:outlineLvl w:val="1"/>
    </w:pPr>
    <w:rPr>
      <w:rFonts w:eastAsiaTheme="majorEastAs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EF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2BD4"/>
    <w:pPr>
      <w:spacing w:before="240" w:after="240" w:line="240" w:lineRule="auto"/>
      <w:ind w:left="720"/>
    </w:pPr>
  </w:style>
  <w:style w:type="table" w:styleId="TableGrid">
    <w:name w:val="Table Grid"/>
    <w:basedOn w:val="TableNormal"/>
    <w:uiPriority w:val="59"/>
    <w:rsid w:val="00BF6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F685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BF685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F68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F68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A32AA3"/>
    <w:rPr>
      <w:rFonts w:ascii="Arial" w:eastAsiaTheme="majorEastAsia" w:hAnsi="Arial" w:cstheme="majorBidi"/>
      <w:b/>
      <w:bCs/>
      <w:color w:val="9BBB59" w:themeColor="accent3"/>
      <w:sz w:val="26"/>
      <w:szCs w:val="26"/>
    </w:rPr>
  </w:style>
  <w:style w:type="character" w:styleId="Hyperlink">
    <w:name w:val="Hyperlink"/>
    <w:basedOn w:val="DefaultParagraphFont"/>
    <w:uiPriority w:val="99"/>
    <w:unhideWhenUsed/>
    <w:rsid w:val="007F316A"/>
    <w:rPr>
      <w:color w:val="0000FF" w:themeColor="hyperlink"/>
      <w:u w:val="single"/>
    </w:rPr>
  </w:style>
  <w:style w:type="paragraph" w:styleId="BalloonText">
    <w:name w:val="Balloon Text"/>
    <w:basedOn w:val="Normal"/>
    <w:link w:val="BalloonTextChar"/>
    <w:uiPriority w:val="99"/>
    <w:semiHidden/>
    <w:unhideWhenUsed/>
    <w:rsid w:val="0004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95"/>
    <w:rPr>
      <w:rFonts w:ascii="Tahoma" w:hAnsi="Tahoma" w:cs="Tahoma"/>
      <w:sz w:val="16"/>
      <w:szCs w:val="16"/>
    </w:rPr>
  </w:style>
  <w:style w:type="paragraph" w:styleId="Header">
    <w:name w:val="header"/>
    <w:basedOn w:val="Normal"/>
    <w:link w:val="HeaderChar"/>
    <w:uiPriority w:val="99"/>
    <w:unhideWhenUsed/>
    <w:rsid w:val="007C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E5"/>
  </w:style>
  <w:style w:type="paragraph" w:styleId="Footer">
    <w:name w:val="footer"/>
    <w:basedOn w:val="Normal"/>
    <w:link w:val="FooterChar"/>
    <w:uiPriority w:val="99"/>
    <w:unhideWhenUsed/>
    <w:rsid w:val="007C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E5"/>
  </w:style>
  <w:style w:type="paragraph" w:styleId="FootnoteText">
    <w:name w:val="footnote text"/>
    <w:basedOn w:val="Normal"/>
    <w:link w:val="FootnoteTextChar"/>
    <w:uiPriority w:val="99"/>
    <w:semiHidden/>
    <w:unhideWhenUsed/>
    <w:rsid w:val="00F75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67F"/>
    <w:rPr>
      <w:sz w:val="20"/>
      <w:szCs w:val="20"/>
    </w:rPr>
  </w:style>
  <w:style w:type="character" w:styleId="FootnoteReference">
    <w:name w:val="footnote reference"/>
    <w:basedOn w:val="DefaultParagraphFont"/>
    <w:uiPriority w:val="99"/>
    <w:semiHidden/>
    <w:unhideWhenUsed/>
    <w:rsid w:val="00F7567F"/>
    <w:rPr>
      <w:vertAlign w:val="superscript"/>
    </w:rPr>
  </w:style>
  <w:style w:type="character" w:styleId="CommentReference">
    <w:name w:val="annotation reference"/>
    <w:basedOn w:val="DefaultParagraphFont"/>
    <w:uiPriority w:val="99"/>
    <w:semiHidden/>
    <w:unhideWhenUsed/>
    <w:rsid w:val="001052A2"/>
    <w:rPr>
      <w:sz w:val="16"/>
      <w:szCs w:val="16"/>
    </w:rPr>
  </w:style>
  <w:style w:type="paragraph" w:styleId="CommentText">
    <w:name w:val="annotation text"/>
    <w:basedOn w:val="Normal"/>
    <w:link w:val="CommentTextChar"/>
    <w:uiPriority w:val="99"/>
    <w:semiHidden/>
    <w:unhideWhenUsed/>
    <w:rsid w:val="001052A2"/>
    <w:pPr>
      <w:spacing w:line="240" w:lineRule="auto"/>
    </w:pPr>
    <w:rPr>
      <w:sz w:val="20"/>
      <w:szCs w:val="20"/>
    </w:rPr>
  </w:style>
  <w:style w:type="character" w:customStyle="1" w:styleId="CommentTextChar">
    <w:name w:val="Comment Text Char"/>
    <w:basedOn w:val="DefaultParagraphFont"/>
    <w:link w:val="CommentText"/>
    <w:uiPriority w:val="99"/>
    <w:semiHidden/>
    <w:rsid w:val="001052A2"/>
    <w:rPr>
      <w:sz w:val="20"/>
      <w:szCs w:val="20"/>
    </w:rPr>
  </w:style>
  <w:style w:type="paragraph" w:styleId="CommentSubject">
    <w:name w:val="annotation subject"/>
    <w:basedOn w:val="CommentText"/>
    <w:next w:val="CommentText"/>
    <w:link w:val="CommentSubjectChar"/>
    <w:uiPriority w:val="99"/>
    <w:semiHidden/>
    <w:unhideWhenUsed/>
    <w:rsid w:val="001052A2"/>
    <w:rPr>
      <w:b/>
      <w:bCs/>
    </w:rPr>
  </w:style>
  <w:style w:type="character" w:customStyle="1" w:styleId="CommentSubjectChar">
    <w:name w:val="Comment Subject Char"/>
    <w:basedOn w:val="CommentTextChar"/>
    <w:link w:val="CommentSubject"/>
    <w:uiPriority w:val="99"/>
    <w:semiHidden/>
    <w:rsid w:val="001052A2"/>
    <w:rPr>
      <w:b/>
      <w:bCs/>
      <w:sz w:val="20"/>
      <w:szCs w:val="20"/>
    </w:rPr>
  </w:style>
  <w:style w:type="table" w:styleId="LightList-Accent3">
    <w:name w:val="Light List Accent 3"/>
    <w:basedOn w:val="TableNormal"/>
    <w:uiPriority w:val="61"/>
    <w:rsid w:val="005561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474">
      <w:bodyDiv w:val="1"/>
      <w:marLeft w:val="0"/>
      <w:marRight w:val="0"/>
      <w:marTop w:val="0"/>
      <w:marBottom w:val="0"/>
      <w:divBdr>
        <w:top w:val="none" w:sz="0" w:space="0" w:color="auto"/>
        <w:left w:val="none" w:sz="0" w:space="0" w:color="auto"/>
        <w:bottom w:val="none" w:sz="0" w:space="0" w:color="auto"/>
        <w:right w:val="none" w:sz="0" w:space="0" w:color="auto"/>
      </w:divBdr>
    </w:div>
    <w:div w:id="10414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1990/8/section/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C8E0-34D4-4EE8-81B8-CB4AA9CB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Wheatley</dc:creator>
  <cp:lastModifiedBy>Paul Wheatley</cp:lastModifiedBy>
  <cp:revision>3</cp:revision>
  <cp:lastPrinted>2016-01-26T09:01:00Z</cp:lastPrinted>
  <dcterms:created xsi:type="dcterms:W3CDTF">2017-01-27T16:02:00Z</dcterms:created>
  <dcterms:modified xsi:type="dcterms:W3CDTF">2017-01-27T16:06:00Z</dcterms:modified>
</cp:coreProperties>
</file>