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C77" w:rsidRPr="00323FA3" w:rsidRDefault="00536C77" w:rsidP="00536C77">
      <w:pPr>
        <w:pBdr>
          <w:bottom w:val="single" w:sz="4" w:space="1" w:color="9BBB59" w:themeColor="accent3"/>
        </w:pBdr>
        <w:rPr>
          <w:rFonts w:cs="Arial"/>
          <w:b/>
          <w:color w:val="9BBB59" w:themeColor="accent3"/>
          <w:sz w:val="48"/>
          <w:szCs w:val="48"/>
        </w:rPr>
      </w:pPr>
      <w:r>
        <w:rPr>
          <w:rFonts w:cs="Arial"/>
          <w:b/>
          <w:color w:val="9BBB59" w:themeColor="accent3"/>
          <w:sz w:val="48"/>
          <w:szCs w:val="48"/>
        </w:rPr>
        <w:t>Community</w:t>
      </w:r>
      <w:r w:rsidR="00195663">
        <w:rPr>
          <w:rFonts w:cs="Arial"/>
          <w:b/>
          <w:color w:val="9BBB59" w:themeColor="accent3"/>
          <w:sz w:val="48"/>
          <w:szCs w:val="48"/>
        </w:rPr>
        <w:t xml:space="preserve"> Infrastructure Levy: </w:t>
      </w:r>
      <w:r w:rsidR="00C60AEC">
        <w:rPr>
          <w:rFonts w:cs="Arial"/>
          <w:b/>
          <w:color w:val="9BBB59" w:themeColor="accent3"/>
          <w:sz w:val="48"/>
          <w:szCs w:val="48"/>
        </w:rPr>
        <w:t xml:space="preserve">Frequently Asked Questions </w:t>
      </w:r>
      <w:r>
        <w:rPr>
          <w:rFonts w:cs="Arial"/>
          <w:b/>
          <w:color w:val="9BBB59" w:themeColor="accent3"/>
          <w:sz w:val="48"/>
          <w:szCs w:val="48"/>
        </w:rPr>
        <w:t>(January 2017</w:t>
      </w:r>
      <w:r w:rsidRPr="00323FA3">
        <w:rPr>
          <w:rFonts w:cs="Arial"/>
          <w:b/>
          <w:color w:val="9BBB59" w:themeColor="accent3"/>
          <w:sz w:val="48"/>
          <w:szCs w:val="48"/>
        </w:rPr>
        <w:t>)</w:t>
      </w:r>
    </w:p>
    <w:p w:rsidR="00536C77" w:rsidRPr="00240F14" w:rsidRDefault="00536C77" w:rsidP="00536C77">
      <w:pPr>
        <w:pStyle w:val="ListParagraph"/>
        <w:numPr>
          <w:ilvl w:val="0"/>
          <w:numId w:val="2"/>
        </w:numPr>
        <w:spacing w:after="120"/>
        <w:ind w:left="709" w:hanging="709"/>
        <w:rPr>
          <w:rFonts w:cs="Arial"/>
          <w:b/>
          <w:color w:val="9BBB59" w:themeColor="accent3"/>
          <w:sz w:val="40"/>
          <w:szCs w:val="40"/>
        </w:rPr>
      </w:pPr>
      <w:r w:rsidRPr="00240F14">
        <w:rPr>
          <w:rFonts w:cs="Arial"/>
          <w:b/>
          <w:color w:val="9BBB59" w:themeColor="accent3"/>
          <w:sz w:val="40"/>
          <w:szCs w:val="40"/>
        </w:rPr>
        <w:t>Introduction</w:t>
      </w:r>
    </w:p>
    <w:p w:rsidR="00C60AEC" w:rsidRDefault="00536C77" w:rsidP="00536C77">
      <w:pPr>
        <w:pStyle w:val="ListParagraph"/>
        <w:numPr>
          <w:ilvl w:val="1"/>
          <w:numId w:val="2"/>
        </w:numPr>
        <w:spacing w:after="120"/>
        <w:ind w:left="709" w:hanging="709"/>
        <w:contextualSpacing w:val="0"/>
      </w:pPr>
      <w:r w:rsidRPr="000907CE">
        <w:t xml:space="preserve">South Somerset </w:t>
      </w:r>
      <w:r w:rsidR="00195663">
        <w:t>approved a Community Infrastructure Levy Charging Schedule on the 17</w:t>
      </w:r>
      <w:r w:rsidR="00195663" w:rsidRPr="005D1AA6">
        <w:rPr>
          <w:vertAlign w:val="superscript"/>
        </w:rPr>
        <w:t>th</w:t>
      </w:r>
      <w:r w:rsidR="00195663">
        <w:t xml:space="preserve"> November 2016</w:t>
      </w:r>
      <w:r w:rsidR="00195663">
        <w:rPr>
          <w:rStyle w:val="FootnoteReference"/>
        </w:rPr>
        <w:footnoteReference w:id="1"/>
      </w:r>
      <w:r w:rsidR="00195663">
        <w:t xml:space="preserve">. </w:t>
      </w:r>
      <w:r w:rsidR="005D1AA6">
        <w:t xml:space="preserve"> </w:t>
      </w:r>
      <w:r w:rsidR="00195663">
        <w:t>At the same time as approving the Charging Schedule, it was agreed that the levy would be implemented from the 3</w:t>
      </w:r>
      <w:r w:rsidR="00195663" w:rsidRPr="005D1AA6">
        <w:rPr>
          <w:vertAlign w:val="superscript"/>
        </w:rPr>
        <w:t>rd</w:t>
      </w:r>
      <w:r w:rsidR="00195663">
        <w:t xml:space="preserve"> April 2017 onwards. For clarity, the approved Charging</w:t>
      </w:r>
      <w:r w:rsidR="00C60AEC">
        <w:t xml:space="preserve"> Schedule is set out in Table 1. </w:t>
      </w:r>
    </w:p>
    <w:p w:rsidR="00195663" w:rsidRPr="00195663" w:rsidRDefault="00195663" w:rsidP="00195663">
      <w:pPr>
        <w:rPr>
          <w:rFonts w:cs="Arial"/>
          <w:b/>
        </w:rPr>
      </w:pPr>
      <w:r w:rsidRPr="00195663">
        <w:rPr>
          <w:rFonts w:cs="Arial"/>
          <w:b/>
        </w:rPr>
        <w:t xml:space="preserve">Table 1: </w:t>
      </w:r>
      <w:r>
        <w:rPr>
          <w:rFonts w:cs="Arial"/>
          <w:b/>
        </w:rPr>
        <w:t xml:space="preserve">South Somerset </w:t>
      </w:r>
      <w:r w:rsidRPr="00195663">
        <w:rPr>
          <w:rFonts w:cs="Arial"/>
          <w:b/>
        </w:rPr>
        <w:t>Charging Schedule</w:t>
      </w:r>
    </w:p>
    <w:tbl>
      <w:tblPr>
        <w:tblStyle w:val="LightList-Accent3"/>
        <w:tblW w:w="9450" w:type="dxa"/>
        <w:tblInd w:w="108" w:type="dxa"/>
        <w:tblLook w:val="04A0" w:firstRow="1" w:lastRow="0" w:firstColumn="1" w:lastColumn="0" w:noHBand="0" w:noVBand="1"/>
      </w:tblPr>
      <w:tblGrid>
        <w:gridCol w:w="3969"/>
        <w:gridCol w:w="2956"/>
        <w:gridCol w:w="2525"/>
      </w:tblGrid>
      <w:tr w:rsidR="00195663" w:rsidRPr="00195663" w:rsidTr="00195663">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969" w:type="dxa"/>
            <w:tcBorders>
              <w:top w:val="single" w:sz="8" w:space="0" w:color="9BBB59" w:themeColor="accent3"/>
              <w:bottom w:val="single" w:sz="8" w:space="0" w:color="9BBB59" w:themeColor="accent3"/>
              <w:right w:val="single" w:sz="8" w:space="0" w:color="9BBB59" w:themeColor="accent3"/>
            </w:tcBorders>
            <w:shd w:val="clear" w:color="auto" w:fill="C2D69B" w:themeFill="accent3" w:themeFillTint="99"/>
          </w:tcPr>
          <w:p w:rsidR="00195663" w:rsidRPr="00195663" w:rsidRDefault="00195663" w:rsidP="00195663">
            <w:pPr>
              <w:rPr>
                <w:color w:val="auto"/>
              </w:rPr>
            </w:pPr>
            <w:r w:rsidRPr="00195663">
              <w:rPr>
                <w:color w:val="auto"/>
              </w:rPr>
              <w:t>Type of Development</w:t>
            </w:r>
          </w:p>
        </w:tc>
        <w:tc>
          <w:tcPr>
            <w:tcW w:w="2956" w:type="dxa"/>
            <w:tcBorders>
              <w:top w:val="single" w:sz="8" w:space="0" w:color="9BBB59" w:themeColor="accent3"/>
              <w:left w:val="single" w:sz="8" w:space="0" w:color="9BBB59" w:themeColor="accent3"/>
              <w:bottom w:val="single" w:sz="8" w:space="0" w:color="9BBB59" w:themeColor="accent3"/>
            </w:tcBorders>
            <w:shd w:val="clear" w:color="auto" w:fill="C2D69B" w:themeFill="accent3" w:themeFillTint="99"/>
          </w:tcPr>
          <w:p w:rsidR="00195663" w:rsidRPr="00195663" w:rsidRDefault="00195663" w:rsidP="00195663">
            <w:pPr>
              <w:cnfStyle w:val="100000000000" w:firstRow="1" w:lastRow="0" w:firstColumn="0" w:lastColumn="0" w:oddVBand="0" w:evenVBand="0" w:oddHBand="0" w:evenHBand="0" w:firstRowFirstColumn="0" w:firstRowLastColumn="0" w:lastRowFirstColumn="0" w:lastRowLastColumn="0"/>
              <w:rPr>
                <w:color w:val="auto"/>
              </w:rPr>
            </w:pPr>
            <w:r w:rsidRPr="00195663">
              <w:rPr>
                <w:color w:val="auto"/>
              </w:rPr>
              <w:t>Levy Rate</w:t>
            </w:r>
          </w:p>
        </w:tc>
        <w:tc>
          <w:tcPr>
            <w:tcW w:w="2525" w:type="dxa"/>
            <w:tcBorders>
              <w:top w:val="single" w:sz="8" w:space="0" w:color="9BBB59" w:themeColor="accent3"/>
              <w:left w:val="single" w:sz="8" w:space="0" w:color="9BBB59" w:themeColor="accent3"/>
              <w:bottom w:val="single" w:sz="8" w:space="0" w:color="9BBB59" w:themeColor="accent3"/>
            </w:tcBorders>
            <w:shd w:val="clear" w:color="auto" w:fill="C2D69B" w:themeFill="accent3" w:themeFillTint="99"/>
          </w:tcPr>
          <w:p w:rsidR="00195663" w:rsidRPr="00195663" w:rsidRDefault="00195663" w:rsidP="00195663">
            <w:pPr>
              <w:cnfStyle w:val="100000000000" w:firstRow="1" w:lastRow="0" w:firstColumn="0" w:lastColumn="0" w:oddVBand="0" w:evenVBand="0" w:oddHBand="0" w:evenHBand="0" w:firstRowFirstColumn="0" w:firstRowLastColumn="0" w:lastRowFirstColumn="0" w:lastRowLastColumn="0"/>
              <w:rPr>
                <w:color w:val="auto"/>
              </w:rPr>
            </w:pPr>
            <w:r w:rsidRPr="00195663">
              <w:rPr>
                <w:color w:val="auto"/>
              </w:rPr>
              <w:t>Geographical Extent</w:t>
            </w:r>
          </w:p>
        </w:tc>
      </w:tr>
      <w:tr w:rsidR="00195663" w:rsidTr="00195663">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3969" w:type="dxa"/>
            <w:tcBorders>
              <w:right w:val="single" w:sz="8" w:space="0" w:color="9BBB59" w:themeColor="accent3"/>
            </w:tcBorders>
          </w:tcPr>
          <w:p w:rsidR="00195663" w:rsidRDefault="00195663" w:rsidP="00195663">
            <w:pPr>
              <w:rPr>
                <w:rFonts w:cs="Arial"/>
              </w:rPr>
            </w:pPr>
            <w:r>
              <w:rPr>
                <w:rFonts w:cs="Arial"/>
              </w:rPr>
              <w:t>Yeovil Sustainable Urban Extensions</w:t>
            </w:r>
            <w:r>
              <w:rPr>
                <w:rStyle w:val="FootnoteReference"/>
                <w:rFonts w:cs="Arial"/>
              </w:rPr>
              <w:footnoteReference w:id="2"/>
            </w:r>
          </w:p>
        </w:tc>
        <w:tc>
          <w:tcPr>
            <w:tcW w:w="2956" w:type="dxa"/>
            <w:tcBorders>
              <w:left w:val="single" w:sz="8" w:space="0" w:color="9BBB59" w:themeColor="accent3"/>
            </w:tcBorders>
          </w:tcPr>
          <w:p w:rsidR="00195663" w:rsidRDefault="00195663" w:rsidP="00195663">
            <w:pPr>
              <w:cnfStyle w:val="000000100000" w:firstRow="0" w:lastRow="0" w:firstColumn="0" w:lastColumn="0" w:oddVBand="0" w:evenVBand="0" w:oddHBand="1" w:evenHBand="0" w:firstRowFirstColumn="0" w:firstRowLastColumn="0" w:lastRowFirstColumn="0" w:lastRowLastColumn="0"/>
              <w:rPr>
                <w:rFonts w:cs="Arial"/>
              </w:rPr>
            </w:pPr>
            <w:r>
              <w:rPr>
                <w:rFonts w:cs="Arial"/>
              </w:rPr>
              <w:t>£0 (zero) per square metre</w:t>
            </w:r>
          </w:p>
        </w:tc>
        <w:tc>
          <w:tcPr>
            <w:tcW w:w="2525" w:type="dxa"/>
            <w:tcBorders>
              <w:left w:val="single" w:sz="8" w:space="0" w:color="9BBB59" w:themeColor="accent3"/>
            </w:tcBorders>
          </w:tcPr>
          <w:p w:rsidR="00195663" w:rsidRDefault="00195663" w:rsidP="00195663">
            <w:pPr>
              <w:cnfStyle w:val="000000100000" w:firstRow="0" w:lastRow="0" w:firstColumn="0" w:lastColumn="0" w:oddVBand="0" w:evenVBand="0" w:oddHBand="1" w:evenHBand="0" w:firstRowFirstColumn="0" w:firstRowLastColumn="0" w:lastRowFirstColumn="0" w:lastRowLastColumn="0"/>
              <w:rPr>
                <w:rFonts w:cs="Arial"/>
              </w:rPr>
            </w:pPr>
            <w:r>
              <w:rPr>
                <w:rFonts w:cs="Arial"/>
              </w:rPr>
              <w:t>See Appendix 1</w:t>
            </w:r>
          </w:p>
        </w:tc>
      </w:tr>
      <w:tr w:rsidR="00195663" w:rsidTr="00195663">
        <w:trPr>
          <w:trHeight w:val="399"/>
        </w:trPr>
        <w:tc>
          <w:tcPr>
            <w:cnfStyle w:val="001000000000" w:firstRow="0" w:lastRow="0" w:firstColumn="1" w:lastColumn="0" w:oddVBand="0" w:evenVBand="0" w:oddHBand="0" w:evenHBand="0" w:firstRowFirstColumn="0" w:firstRowLastColumn="0" w:lastRowFirstColumn="0" w:lastRowLastColumn="0"/>
            <w:tcW w:w="3969" w:type="dxa"/>
            <w:tcBorders>
              <w:top w:val="single" w:sz="8" w:space="0" w:color="9BBB59" w:themeColor="accent3"/>
              <w:bottom w:val="single" w:sz="8" w:space="0" w:color="9BBB59" w:themeColor="accent3"/>
              <w:right w:val="single" w:sz="8" w:space="0" w:color="9BBB59" w:themeColor="accent3"/>
            </w:tcBorders>
          </w:tcPr>
          <w:p w:rsidR="00195663" w:rsidRDefault="00195663" w:rsidP="00195663">
            <w:pPr>
              <w:rPr>
                <w:rFonts w:cs="Arial"/>
              </w:rPr>
            </w:pPr>
            <w:r>
              <w:rPr>
                <w:rFonts w:cs="Arial"/>
              </w:rPr>
              <w:t>Chard Eastern Development Area</w:t>
            </w:r>
            <w:r>
              <w:rPr>
                <w:rStyle w:val="FootnoteReference"/>
                <w:rFonts w:cs="Arial"/>
              </w:rPr>
              <w:footnoteReference w:id="3"/>
            </w:r>
          </w:p>
        </w:tc>
        <w:tc>
          <w:tcPr>
            <w:tcW w:w="2956" w:type="dxa"/>
            <w:tcBorders>
              <w:left w:val="single" w:sz="8" w:space="0" w:color="9BBB59" w:themeColor="accent3"/>
            </w:tcBorders>
          </w:tcPr>
          <w:p w:rsidR="00195663" w:rsidRDefault="00195663" w:rsidP="00195663">
            <w:pPr>
              <w:cnfStyle w:val="000000000000" w:firstRow="0" w:lastRow="0" w:firstColumn="0" w:lastColumn="0" w:oddVBand="0" w:evenVBand="0" w:oddHBand="0" w:evenHBand="0" w:firstRowFirstColumn="0" w:firstRowLastColumn="0" w:lastRowFirstColumn="0" w:lastRowLastColumn="0"/>
              <w:rPr>
                <w:rFonts w:cs="Arial"/>
              </w:rPr>
            </w:pPr>
            <w:r>
              <w:rPr>
                <w:rFonts w:cs="Arial"/>
              </w:rPr>
              <w:t>£0 (zero) per square metre</w:t>
            </w:r>
          </w:p>
        </w:tc>
        <w:tc>
          <w:tcPr>
            <w:tcW w:w="2525" w:type="dxa"/>
            <w:tcBorders>
              <w:left w:val="single" w:sz="8" w:space="0" w:color="9BBB59" w:themeColor="accent3"/>
            </w:tcBorders>
          </w:tcPr>
          <w:p w:rsidR="00195663" w:rsidRDefault="00195663" w:rsidP="00195663">
            <w:pPr>
              <w:cnfStyle w:val="000000000000" w:firstRow="0" w:lastRow="0" w:firstColumn="0" w:lastColumn="0" w:oddVBand="0" w:evenVBand="0" w:oddHBand="0" w:evenHBand="0" w:firstRowFirstColumn="0" w:firstRowLastColumn="0" w:lastRowFirstColumn="0" w:lastRowLastColumn="0"/>
              <w:rPr>
                <w:rFonts w:cs="Arial"/>
              </w:rPr>
            </w:pPr>
            <w:r>
              <w:rPr>
                <w:rFonts w:cs="Arial"/>
              </w:rPr>
              <w:t>See Appendix 2</w:t>
            </w:r>
          </w:p>
        </w:tc>
      </w:tr>
      <w:tr w:rsidR="00195663" w:rsidTr="00195663">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3969" w:type="dxa"/>
            <w:tcBorders>
              <w:right w:val="single" w:sz="8" w:space="0" w:color="9BBB59" w:themeColor="accent3"/>
            </w:tcBorders>
          </w:tcPr>
          <w:p w:rsidR="00195663" w:rsidRDefault="00195663" w:rsidP="00195663">
            <w:pPr>
              <w:rPr>
                <w:rFonts w:cs="Arial"/>
              </w:rPr>
            </w:pPr>
            <w:r>
              <w:rPr>
                <w:rFonts w:cs="Arial"/>
              </w:rPr>
              <w:t>All Other Residential Development</w:t>
            </w:r>
          </w:p>
        </w:tc>
        <w:tc>
          <w:tcPr>
            <w:tcW w:w="2956" w:type="dxa"/>
            <w:tcBorders>
              <w:left w:val="single" w:sz="8" w:space="0" w:color="9BBB59" w:themeColor="accent3"/>
            </w:tcBorders>
          </w:tcPr>
          <w:p w:rsidR="00195663" w:rsidRDefault="00195663" w:rsidP="00195663">
            <w:pPr>
              <w:cnfStyle w:val="000000100000" w:firstRow="0" w:lastRow="0" w:firstColumn="0" w:lastColumn="0" w:oddVBand="0" w:evenVBand="0" w:oddHBand="1" w:evenHBand="0" w:firstRowFirstColumn="0" w:firstRowLastColumn="0" w:lastRowFirstColumn="0" w:lastRowLastColumn="0"/>
              <w:rPr>
                <w:rFonts w:cs="Arial"/>
              </w:rPr>
            </w:pPr>
            <w:r>
              <w:rPr>
                <w:rFonts w:cs="Arial"/>
              </w:rPr>
              <w:t>£40 per square metre</w:t>
            </w:r>
          </w:p>
        </w:tc>
        <w:tc>
          <w:tcPr>
            <w:tcW w:w="2525" w:type="dxa"/>
            <w:tcBorders>
              <w:left w:val="single" w:sz="8" w:space="0" w:color="9BBB59" w:themeColor="accent3"/>
            </w:tcBorders>
          </w:tcPr>
          <w:p w:rsidR="00195663" w:rsidRDefault="00195663" w:rsidP="00195663">
            <w:pPr>
              <w:cnfStyle w:val="000000100000" w:firstRow="0" w:lastRow="0" w:firstColumn="0" w:lastColumn="0" w:oddVBand="0" w:evenVBand="0" w:oddHBand="1" w:evenHBand="0" w:firstRowFirstColumn="0" w:firstRowLastColumn="0" w:lastRowFirstColumn="0" w:lastRowLastColumn="0"/>
              <w:rPr>
                <w:rFonts w:cs="Arial"/>
              </w:rPr>
            </w:pPr>
            <w:r>
              <w:rPr>
                <w:rFonts w:cs="Arial"/>
              </w:rPr>
              <w:t>District-wide. See Appendix 3</w:t>
            </w:r>
          </w:p>
        </w:tc>
      </w:tr>
      <w:tr w:rsidR="00195663" w:rsidTr="00195663">
        <w:trPr>
          <w:trHeight w:val="1391"/>
        </w:trPr>
        <w:tc>
          <w:tcPr>
            <w:cnfStyle w:val="001000000000" w:firstRow="0" w:lastRow="0" w:firstColumn="1" w:lastColumn="0" w:oddVBand="0" w:evenVBand="0" w:oddHBand="0" w:evenHBand="0" w:firstRowFirstColumn="0" w:firstRowLastColumn="0" w:lastRowFirstColumn="0" w:lastRowLastColumn="0"/>
            <w:tcW w:w="3969" w:type="dxa"/>
            <w:tcBorders>
              <w:top w:val="single" w:sz="8" w:space="0" w:color="9BBB59" w:themeColor="accent3"/>
              <w:bottom w:val="single" w:sz="8" w:space="0" w:color="9BBB59" w:themeColor="accent3"/>
              <w:right w:val="single" w:sz="8" w:space="0" w:color="9BBB59" w:themeColor="accent3"/>
            </w:tcBorders>
          </w:tcPr>
          <w:p w:rsidR="00195663" w:rsidRDefault="00195663" w:rsidP="00195663">
            <w:pPr>
              <w:rPr>
                <w:rFonts w:cs="Arial"/>
              </w:rPr>
            </w:pPr>
            <w:r>
              <w:rPr>
                <w:rFonts w:cs="Arial"/>
              </w:rPr>
              <w:t>Convenience-based Supermarkets and Superstores, and Retail Warehouse Parks (outside of defined Town Centres and Primary Shopping Areas)</w:t>
            </w:r>
            <w:r>
              <w:rPr>
                <w:rStyle w:val="FootnoteReference"/>
                <w:rFonts w:cs="Arial"/>
              </w:rPr>
              <w:footnoteReference w:id="4"/>
            </w:r>
            <w:r>
              <w:rPr>
                <w:rStyle w:val="FootnoteReference"/>
                <w:rFonts w:cs="Arial"/>
              </w:rPr>
              <w:t xml:space="preserve"> </w:t>
            </w:r>
            <w:r>
              <w:rPr>
                <w:rStyle w:val="FootnoteReference"/>
                <w:rFonts w:cs="Arial"/>
              </w:rPr>
              <w:footnoteReference w:id="5"/>
            </w:r>
          </w:p>
        </w:tc>
        <w:tc>
          <w:tcPr>
            <w:tcW w:w="2956" w:type="dxa"/>
            <w:tcBorders>
              <w:left w:val="single" w:sz="8" w:space="0" w:color="9BBB59" w:themeColor="accent3"/>
            </w:tcBorders>
          </w:tcPr>
          <w:p w:rsidR="00195663" w:rsidRDefault="00195663" w:rsidP="00195663">
            <w:pPr>
              <w:cnfStyle w:val="000000000000" w:firstRow="0" w:lastRow="0" w:firstColumn="0" w:lastColumn="0" w:oddVBand="0" w:evenVBand="0" w:oddHBand="0" w:evenHBand="0" w:firstRowFirstColumn="0" w:firstRowLastColumn="0" w:lastRowFirstColumn="0" w:lastRowLastColumn="0"/>
              <w:rPr>
                <w:rFonts w:cs="Arial"/>
              </w:rPr>
            </w:pPr>
            <w:r>
              <w:rPr>
                <w:rFonts w:cs="Arial"/>
              </w:rPr>
              <w:t>£100 per square metre</w:t>
            </w:r>
          </w:p>
        </w:tc>
        <w:tc>
          <w:tcPr>
            <w:tcW w:w="2525" w:type="dxa"/>
            <w:tcBorders>
              <w:left w:val="single" w:sz="8" w:space="0" w:color="9BBB59" w:themeColor="accent3"/>
            </w:tcBorders>
          </w:tcPr>
          <w:p w:rsidR="00195663" w:rsidRDefault="00195663" w:rsidP="00195663">
            <w:pPr>
              <w:cnfStyle w:val="000000000000" w:firstRow="0" w:lastRow="0" w:firstColumn="0" w:lastColumn="0" w:oddVBand="0" w:evenVBand="0" w:oddHBand="0" w:evenHBand="0" w:firstRowFirstColumn="0" w:firstRowLastColumn="0" w:lastRowFirstColumn="0" w:lastRowLastColumn="0"/>
              <w:rPr>
                <w:rFonts w:cs="Arial"/>
              </w:rPr>
            </w:pPr>
            <w:r>
              <w:rPr>
                <w:rFonts w:cs="Arial"/>
              </w:rPr>
              <w:t>District-wide, excluding those areas defined in Appendices 1, 2, and 4 – 15</w:t>
            </w:r>
          </w:p>
        </w:tc>
      </w:tr>
      <w:tr w:rsidR="00195663" w:rsidTr="00195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right w:val="single" w:sz="8" w:space="0" w:color="9BBB59" w:themeColor="accent3"/>
            </w:tcBorders>
          </w:tcPr>
          <w:p w:rsidR="00195663" w:rsidRDefault="00195663" w:rsidP="00195663">
            <w:pPr>
              <w:rPr>
                <w:rFonts w:cs="Arial"/>
              </w:rPr>
            </w:pPr>
            <w:r>
              <w:rPr>
                <w:rFonts w:cs="Arial"/>
              </w:rPr>
              <w:t>All Other Uses</w:t>
            </w:r>
          </w:p>
        </w:tc>
        <w:tc>
          <w:tcPr>
            <w:tcW w:w="2956" w:type="dxa"/>
            <w:tcBorders>
              <w:left w:val="single" w:sz="8" w:space="0" w:color="9BBB59" w:themeColor="accent3"/>
            </w:tcBorders>
          </w:tcPr>
          <w:p w:rsidR="00195663" w:rsidRDefault="00195663" w:rsidP="00195663">
            <w:pPr>
              <w:cnfStyle w:val="000000100000" w:firstRow="0" w:lastRow="0" w:firstColumn="0" w:lastColumn="0" w:oddVBand="0" w:evenVBand="0" w:oddHBand="1" w:evenHBand="0" w:firstRowFirstColumn="0" w:firstRowLastColumn="0" w:lastRowFirstColumn="0" w:lastRowLastColumn="0"/>
              <w:rPr>
                <w:rFonts w:cs="Arial"/>
              </w:rPr>
            </w:pPr>
            <w:r>
              <w:rPr>
                <w:rFonts w:cs="Arial"/>
              </w:rPr>
              <w:t>£0 (zero) per square metre</w:t>
            </w:r>
          </w:p>
        </w:tc>
        <w:tc>
          <w:tcPr>
            <w:tcW w:w="2525" w:type="dxa"/>
            <w:tcBorders>
              <w:left w:val="single" w:sz="8" w:space="0" w:color="9BBB59" w:themeColor="accent3"/>
            </w:tcBorders>
          </w:tcPr>
          <w:p w:rsidR="00195663" w:rsidRDefault="00195663" w:rsidP="00195663">
            <w:pPr>
              <w:cnfStyle w:val="000000100000" w:firstRow="0" w:lastRow="0" w:firstColumn="0" w:lastColumn="0" w:oddVBand="0" w:evenVBand="0" w:oddHBand="1" w:evenHBand="0" w:firstRowFirstColumn="0" w:firstRowLastColumn="0" w:lastRowFirstColumn="0" w:lastRowLastColumn="0"/>
              <w:rPr>
                <w:rFonts w:cs="Arial"/>
              </w:rPr>
            </w:pPr>
            <w:r>
              <w:rPr>
                <w:rFonts w:cs="Arial"/>
              </w:rPr>
              <w:t>District-wide. See Appendix 1 – 15</w:t>
            </w:r>
          </w:p>
        </w:tc>
      </w:tr>
    </w:tbl>
    <w:p w:rsidR="00C60AEC" w:rsidRDefault="00C60AEC" w:rsidP="00C60AEC">
      <w:pPr>
        <w:pStyle w:val="ListParagraph"/>
        <w:numPr>
          <w:ilvl w:val="1"/>
          <w:numId w:val="2"/>
        </w:numPr>
        <w:spacing w:before="240" w:after="120"/>
        <w:ind w:left="709" w:hanging="709"/>
        <w:contextualSpacing w:val="0"/>
      </w:pPr>
      <w:r>
        <w:t>A number of internal changes within the Council are required to ensure that the Charging Schedule and the levy are implemented effectively. This includes adopting new IT software; integrating working practices between planning, legal, and finance teams; and establishing new governance arrangements for the management and spending of monies accrued via the levy.</w:t>
      </w:r>
    </w:p>
    <w:p w:rsidR="00C60AEC" w:rsidRDefault="005D1AA6" w:rsidP="00C60AEC">
      <w:pPr>
        <w:pStyle w:val="ListParagraph"/>
        <w:numPr>
          <w:ilvl w:val="1"/>
          <w:numId w:val="2"/>
        </w:numPr>
        <w:spacing w:before="240" w:after="120"/>
        <w:ind w:left="709" w:hanging="709"/>
        <w:contextualSpacing w:val="0"/>
      </w:pPr>
      <w:r>
        <w:t>To</w:t>
      </w:r>
      <w:r w:rsidR="00D5279A">
        <w:t xml:space="preserve"> help smooth the transition to</w:t>
      </w:r>
      <w:r>
        <w:t xml:space="preserve"> when the levy is in place, answers to a series of </w:t>
      </w:r>
      <w:r w:rsidRPr="005D1AA6">
        <w:rPr>
          <w:i/>
        </w:rPr>
        <w:t>“Frequently Asked Questions”</w:t>
      </w:r>
      <w:r>
        <w:t xml:space="preserve"> have been set out below. </w:t>
      </w:r>
    </w:p>
    <w:p w:rsidR="009C4B3B" w:rsidRPr="009C4B3B" w:rsidRDefault="004D0F71" w:rsidP="009C4B3B">
      <w:pPr>
        <w:pStyle w:val="ListParagraph"/>
        <w:numPr>
          <w:ilvl w:val="0"/>
          <w:numId w:val="2"/>
        </w:numPr>
        <w:spacing w:after="120"/>
        <w:ind w:left="709" w:hanging="709"/>
        <w:rPr>
          <w:rFonts w:cs="Arial"/>
          <w:b/>
          <w:color w:val="9BBB59" w:themeColor="accent3"/>
          <w:sz w:val="40"/>
          <w:szCs w:val="40"/>
        </w:rPr>
      </w:pPr>
      <w:r>
        <w:rPr>
          <w:rFonts w:cs="Arial"/>
          <w:b/>
          <w:color w:val="9BBB59" w:themeColor="accent3"/>
          <w:sz w:val="40"/>
          <w:szCs w:val="40"/>
        </w:rPr>
        <w:lastRenderedPageBreak/>
        <w:t>Key Stages to Managing a</w:t>
      </w:r>
      <w:r w:rsidR="009C4B3B" w:rsidRPr="009C4B3B">
        <w:rPr>
          <w:rFonts w:cs="Arial"/>
          <w:b/>
          <w:color w:val="9BBB59" w:themeColor="accent3"/>
          <w:sz w:val="40"/>
          <w:szCs w:val="40"/>
        </w:rPr>
        <w:t xml:space="preserve">nd Charging </w:t>
      </w:r>
      <w:r>
        <w:rPr>
          <w:rFonts w:cs="Arial"/>
          <w:b/>
          <w:color w:val="9BBB59" w:themeColor="accent3"/>
          <w:sz w:val="40"/>
          <w:szCs w:val="40"/>
        </w:rPr>
        <w:t>t</w:t>
      </w:r>
      <w:r w:rsidR="009C4B3B" w:rsidRPr="009C4B3B">
        <w:rPr>
          <w:rFonts w:cs="Arial"/>
          <w:b/>
          <w:color w:val="9BBB59" w:themeColor="accent3"/>
          <w:sz w:val="40"/>
          <w:szCs w:val="40"/>
        </w:rPr>
        <w:t>he Levy</w:t>
      </w:r>
    </w:p>
    <w:p w:rsidR="00744164" w:rsidRDefault="004D0F71" w:rsidP="009C4B3B">
      <w:pPr>
        <w:spacing w:before="120" w:after="120"/>
      </w:pPr>
      <w:r>
        <w:t>From</w:t>
      </w:r>
      <w:r w:rsidR="009C4B3B">
        <w:t xml:space="preserve"> the 3</w:t>
      </w:r>
      <w:r w:rsidR="009C4B3B" w:rsidRPr="00D95252">
        <w:rPr>
          <w:vertAlign w:val="superscript"/>
        </w:rPr>
        <w:t>rd</w:t>
      </w:r>
      <w:r w:rsidR="009C4B3B">
        <w:t xml:space="preserve"> April 2017, once the levy is in place, the following steps will be required from applicants, landowners, </w:t>
      </w:r>
      <w:r>
        <w:t>and t</w:t>
      </w:r>
      <w:r w:rsidR="009C4B3B">
        <w:t xml:space="preserve">he </w:t>
      </w:r>
      <w:r w:rsidR="00034F0E">
        <w:t>Local Planning Authority (LPA)</w:t>
      </w:r>
      <w:r w:rsidR="009C4B3B">
        <w:t xml:space="preserve">. </w:t>
      </w:r>
    </w:p>
    <w:p w:rsidR="009C4B3B" w:rsidRDefault="009C4B3B" w:rsidP="009C4B3B">
      <w:pPr>
        <w:spacing w:before="120" w:after="120"/>
      </w:pPr>
      <w:r>
        <w:t xml:space="preserve">The </w:t>
      </w:r>
      <w:r w:rsidR="00744164">
        <w:t xml:space="preserve">main </w:t>
      </w:r>
      <w:r>
        <w:t xml:space="preserve">process steps </w:t>
      </w:r>
      <w:r w:rsidR="004D0F71">
        <w:t xml:space="preserve">relating to charging the levy </w:t>
      </w:r>
      <w:r>
        <w:t>are:</w:t>
      </w:r>
    </w:p>
    <w:p w:rsidR="009C4B3B" w:rsidRDefault="009C4B3B" w:rsidP="009C4B3B">
      <w:pPr>
        <w:pStyle w:val="ListParagraph"/>
        <w:numPr>
          <w:ilvl w:val="0"/>
          <w:numId w:val="38"/>
        </w:numPr>
        <w:spacing w:before="120" w:after="120"/>
        <w:ind w:left="357" w:hanging="357"/>
        <w:contextualSpacing w:val="0"/>
      </w:pPr>
      <w:r>
        <w:t xml:space="preserve">Applicants for planning permission should submit an </w:t>
      </w:r>
      <w:r w:rsidRPr="00FC52F8">
        <w:rPr>
          <w:i/>
          <w:u w:val="single"/>
        </w:rPr>
        <w:t>“Additional CIL Information”</w:t>
      </w:r>
      <w:r>
        <w:t xml:space="preserve"> form alongside their planning application. This will help the </w:t>
      </w:r>
      <w:r w:rsidR="00034F0E">
        <w:t>LPA</w:t>
      </w:r>
      <w:r>
        <w:t xml:space="preserve"> to calculate the amount payable.</w:t>
      </w:r>
    </w:p>
    <w:p w:rsidR="009C4B3B" w:rsidRDefault="009C4B3B" w:rsidP="009C4B3B">
      <w:pPr>
        <w:pStyle w:val="ListParagraph"/>
        <w:numPr>
          <w:ilvl w:val="0"/>
          <w:numId w:val="38"/>
        </w:numPr>
        <w:spacing w:before="120" w:after="120"/>
        <w:ind w:left="357" w:hanging="357"/>
        <w:contextualSpacing w:val="0"/>
      </w:pPr>
      <w:r>
        <w:t xml:space="preserve">If and where planning permission is granted for development by way of a general consent – such as via the General Permitted Development Order – the developer or landowner submits a </w:t>
      </w:r>
      <w:r w:rsidRPr="00FC52F8">
        <w:rPr>
          <w:i/>
          <w:u w:val="single"/>
        </w:rPr>
        <w:t>“Notice of Chargeable Development”</w:t>
      </w:r>
      <w:r>
        <w:t xml:space="preserve"> to the </w:t>
      </w:r>
      <w:r w:rsidR="00034F0E">
        <w:t>LPA</w:t>
      </w:r>
      <w:r>
        <w:t>.</w:t>
      </w:r>
    </w:p>
    <w:p w:rsidR="009C4B3B" w:rsidRDefault="009C4B3B" w:rsidP="009C4B3B">
      <w:pPr>
        <w:pStyle w:val="ListParagraph"/>
        <w:numPr>
          <w:ilvl w:val="0"/>
          <w:numId w:val="38"/>
        </w:numPr>
        <w:spacing w:before="120" w:after="120"/>
        <w:ind w:left="357" w:hanging="357"/>
        <w:contextualSpacing w:val="0"/>
      </w:pPr>
      <w:r>
        <w:t xml:space="preserve">If and where planning permission is necessary, the </w:t>
      </w:r>
      <w:r w:rsidR="00034F0E">
        <w:t>LPA</w:t>
      </w:r>
      <w:r>
        <w:t xml:space="preserve"> will expect the developer, landowner or another interested party to assume liability for the levy by submitting an </w:t>
      </w:r>
      <w:r w:rsidRPr="00FC52F8">
        <w:rPr>
          <w:i/>
          <w:u w:val="single"/>
        </w:rPr>
        <w:t>“Assumption of Liability”</w:t>
      </w:r>
      <w:r>
        <w:t xml:space="preserve"> form. This can be submitted at the same time as when a planning application is submitted to speed up the process. </w:t>
      </w:r>
    </w:p>
    <w:p w:rsidR="009C4B3B" w:rsidRDefault="009C4B3B" w:rsidP="009C4B3B">
      <w:pPr>
        <w:pStyle w:val="ListParagraph"/>
        <w:numPr>
          <w:ilvl w:val="0"/>
          <w:numId w:val="38"/>
        </w:numPr>
        <w:spacing w:before="120" w:after="120"/>
        <w:ind w:left="357" w:hanging="357"/>
        <w:contextualSpacing w:val="0"/>
      </w:pPr>
      <w:r>
        <w:t xml:space="preserve">Based upon the scale of chargeable development, the </w:t>
      </w:r>
      <w:r w:rsidR="00034F0E">
        <w:t>LPA</w:t>
      </w:r>
      <w:r>
        <w:t xml:space="preserve"> then issues a </w:t>
      </w:r>
      <w:r w:rsidRPr="00FC52F8">
        <w:rPr>
          <w:i/>
          <w:u w:val="single"/>
        </w:rPr>
        <w:t>“Liability Notice”</w:t>
      </w:r>
      <w:r>
        <w:t xml:space="preserve"> to the applicant, the developer, and whoever has assumed liability for the scheme, which sets out the charge due and details of the payment procedure.</w:t>
      </w:r>
    </w:p>
    <w:p w:rsidR="009C4B3B" w:rsidRDefault="009C4B3B" w:rsidP="009C4B3B">
      <w:pPr>
        <w:pStyle w:val="ListParagraph"/>
        <w:numPr>
          <w:ilvl w:val="0"/>
          <w:numId w:val="38"/>
        </w:numPr>
        <w:spacing w:before="120" w:after="120"/>
        <w:ind w:left="357" w:hanging="357"/>
        <w:contextualSpacing w:val="0"/>
      </w:pPr>
      <w:r>
        <w:t xml:space="preserve">Based upon the development progressing, the relevant person(s) then submits a </w:t>
      </w:r>
      <w:r w:rsidRPr="001E15D9">
        <w:rPr>
          <w:i/>
          <w:u w:val="single"/>
        </w:rPr>
        <w:t>“Commencement Notice”</w:t>
      </w:r>
      <w:r>
        <w:t xml:space="preserve"> to the </w:t>
      </w:r>
      <w:r w:rsidR="00034F0E">
        <w:t>LPA</w:t>
      </w:r>
      <w:r>
        <w:t xml:space="preserve"> setting out when development is going to start.</w:t>
      </w:r>
    </w:p>
    <w:p w:rsidR="009C4B3B" w:rsidRDefault="009C4B3B" w:rsidP="009C4B3B">
      <w:pPr>
        <w:pStyle w:val="ListParagraph"/>
        <w:numPr>
          <w:ilvl w:val="0"/>
          <w:numId w:val="38"/>
        </w:numPr>
        <w:spacing w:before="120" w:after="120"/>
        <w:ind w:left="357" w:hanging="357"/>
        <w:contextualSpacing w:val="0"/>
      </w:pPr>
      <w:r>
        <w:t xml:space="preserve">The </w:t>
      </w:r>
      <w:r w:rsidR="00034F0E">
        <w:t>LPA</w:t>
      </w:r>
      <w:r>
        <w:t xml:space="preserve"> issues a </w:t>
      </w:r>
      <w:r w:rsidRPr="00FC52F8">
        <w:rPr>
          <w:i/>
          <w:u w:val="single"/>
        </w:rPr>
        <w:t>“Demand Notice”</w:t>
      </w:r>
      <w:r>
        <w:t xml:space="preserve"> to the landowner, or whoever has assumed liability, setting out the payment due dates in line with the payment procedure. For South Somerset, this will be in accordance with the Instalments Policy.</w:t>
      </w:r>
    </w:p>
    <w:p w:rsidR="009C4B3B" w:rsidRDefault="009C4B3B" w:rsidP="009C4B3B">
      <w:pPr>
        <w:pStyle w:val="ListParagraph"/>
        <w:numPr>
          <w:ilvl w:val="0"/>
          <w:numId w:val="38"/>
        </w:numPr>
        <w:spacing w:before="120" w:after="120"/>
        <w:ind w:left="357" w:hanging="357"/>
        <w:contextualSpacing w:val="0"/>
      </w:pPr>
      <w:r>
        <w:t xml:space="preserve">On commencement of the development, the landowner, or whoever has assumed liability, should follow the correct payment procedure as set out in the demand notice and as defined by the South Somerset Instalments Policy. </w:t>
      </w:r>
    </w:p>
    <w:p w:rsidR="009C4B3B" w:rsidRDefault="009C4B3B" w:rsidP="009C4B3B">
      <w:pPr>
        <w:pStyle w:val="ListParagraph"/>
        <w:numPr>
          <w:ilvl w:val="0"/>
          <w:numId w:val="38"/>
        </w:numPr>
        <w:spacing w:before="120" w:after="120"/>
        <w:ind w:left="357" w:hanging="357"/>
        <w:contextualSpacing w:val="0"/>
      </w:pPr>
      <w:r>
        <w:t xml:space="preserve">The </w:t>
      </w:r>
      <w:r w:rsidR="00034F0E">
        <w:t>LPA</w:t>
      </w:r>
      <w:r>
        <w:t xml:space="preserve"> must issue a receipt for each payment received.</w:t>
      </w:r>
    </w:p>
    <w:p w:rsidR="009C4B3B" w:rsidRDefault="009C4B3B" w:rsidP="009C4B3B">
      <w:pPr>
        <w:spacing w:before="120" w:after="120"/>
      </w:pPr>
      <w:r>
        <w:t>The following sections set out further detail on the various stages, clarifying what is required from the respective parties involved, and when.</w:t>
      </w:r>
    </w:p>
    <w:p w:rsidR="009C4B3B" w:rsidRDefault="009C4B3B">
      <w:r>
        <w:br w:type="page"/>
      </w:r>
    </w:p>
    <w:p w:rsidR="009C4B3B" w:rsidRDefault="009C4B3B" w:rsidP="009C4B3B">
      <w:pPr>
        <w:pStyle w:val="ListParagraph"/>
        <w:numPr>
          <w:ilvl w:val="0"/>
          <w:numId w:val="2"/>
        </w:numPr>
        <w:spacing w:after="120"/>
        <w:ind w:left="709" w:hanging="709"/>
        <w:rPr>
          <w:rFonts w:cs="Arial"/>
          <w:b/>
          <w:color w:val="9BBB59" w:themeColor="accent3"/>
          <w:sz w:val="40"/>
          <w:szCs w:val="40"/>
        </w:rPr>
      </w:pPr>
      <w:r>
        <w:rPr>
          <w:rFonts w:cs="Arial"/>
          <w:b/>
          <w:color w:val="9BBB59" w:themeColor="accent3"/>
          <w:sz w:val="40"/>
          <w:szCs w:val="40"/>
        </w:rPr>
        <w:lastRenderedPageBreak/>
        <w:t>Frequently Asked Questions</w:t>
      </w:r>
    </w:p>
    <w:p w:rsidR="009C4B3B" w:rsidRDefault="009C4B3B" w:rsidP="009C4B3B">
      <w:pPr>
        <w:spacing w:after="0"/>
        <w:rPr>
          <w:b/>
          <w:color w:val="9BBB59" w:themeColor="accent3"/>
          <w:sz w:val="32"/>
          <w:szCs w:val="32"/>
        </w:rPr>
      </w:pPr>
      <w:r w:rsidRPr="00CE0FCC">
        <w:rPr>
          <w:b/>
          <w:color w:val="9BBB59" w:themeColor="accent3"/>
          <w:sz w:val="32"/>
          <w:szCs w:val="32"/>
        </w:rPr>
        <w:t xml:space="preserve">Q. </w:t>
      </w:r>
      <w:r>
        <w:rPr>
          <w:b/>
          <w:color w:val="9BBB59" w:themeColor="accent3"/>
          <w:sz w:val="32"/>
          <w:szCs w:val="32"/>
        </w:rPr>
        <w:t>When will the South Somerset levy be implemented?</w:t>
      </w:r>
    </w:p>
    <w:p w:rsidR="009C4B3B" w:rsidRDefault="009C4B3B" w:rsidP="009C4B3B">
      <w:pPr>
        <w:spacing w:before="120" w:after="120"/>
      </w:pPr>
      <w:r>
        <w:t>South Somerset has decided to start charging a levy from the 3</w:t>
      </w:r>
      <w:r w:rsidRPr="00A80AD0">
        <w:rPr>
          <w:vertAlign w:val="superscript"/>
        </w:rPr>
        <w:t>rd</w:t>
      </w:r>
      <w:r>
        <w:t xml:space="preserve"> April 2017. This date was chosen to allow the Council’s internal processes to be changed to cater to the new requirements of implementing and managing the levy. It also means the monitoring of the levy will coincide with the financial year. </w:t>
      </w:r>
    </w:p>
    <w:p w:rsidR="009C4B3B" w:rsidRPr="00A80AD0" w:rsidRDefault="009C4B3B" w:rsidP="009C4B3B">
      <w:pPr>
        <w:spacing w:before="120" w:after="120"/>
      </w:pPr>
      <w:r>
        <w:t>The time between the levy being approved and the levy being implemented (November 20</w:t>
      </w:r>
      <w:r w:rsidR="003209AF">
        <w:t>1</w:t>
      </w:r>
      <w:r>
        <w:t>6 to April 2017) also allows the development industry to adjust to the different regime.</w:t>
      </w:r>
    </w:p>
    <w:p w:rsidR="009C4B3B" w:rsidRDefault="009C4B3B" w:rsidP="009C4B3B">
      <w:pPr>
        <w:spacing w:before="120" w:after="120"/>
        <w:rPr>
          <w:b/>
          <w:color w:val="9BBB59" w:themeColor="accent3"/>
          <w:sz w:val="32"/>
          <w:szCs w:val="32"/>
        </w:rPr>
      </w:pPr>
      <w:r>
        <w:rPr>
          <w:b/>
          <w:color w:val="9BBB59" w:themeColor="accent3"/>
          <w:sz w:val="32"/>
          <w:szCs w:val="32"/>
        </w:rPr>
        <w:t>Q. What is the Additional CIL Information Form?</w:t>
      </w:r>
    </w:p>
    <w:p w:rsidR="009C4B3B" w:rsidRDefault="009C4B3B" w:rsidP="009C4B3B">
      <w:pPr>
        <w:spacing w:before="120" w:after="120"/>
      </w:pPr>
      <w:r>
        <w:t xml:space="preserve">This is a separate form that the </w:t>
      </w:r>
      <w:r w:rsidR="00034F0E">
        <w:t>LPA</w:t>
      </w:r>
      <w:r>
        <w:t xml:space="preserve"> will expect an applicant to submit at the same time as the planning application documentation. It will set out additional details that will allow the LPA to determine whether a development may be liable for the levy charge.</w:t>
      </w:r>
    </w:p>
    <w:p w:rsidR="009C4B3B" w:rsidRDefault="009C4B3B" w:rsidP="009C4B3B">
      <w:pPr>
        <w:spacing w:before="120" w:after="120"/>
      </w:pPr>
      <w:r>
        <w:t xml:space="preserve">The form asks specific questions linked to the whether the proposed scheme generates additional </w:t>
      </w:r>
      <w:proofErr w:type="spellStart"/>
      <w:r>
        <w:t>floorspace</w:t>
      </w:r>
      <w:proofErr w:type="spellEnd"/>
      <w:r>
        <w:t xml:space="preserve"> (over 100m2), or proposes a new dwelling, which would trigger the levy. It also asks the applicant to be more specific amount the scale of new </w:t>
      </w:r>
      <w:proofErr w:type="spellStart"/>
      <w:r>
        <w:t>floorspace</w:t>
      </w:r>
      <w:proofErr w:type="spellEnd"/>
      <w:r>
        <w:t xml:space="preserve"> (where possible) and set out any details about existing buildings/</w:t>
      </w:r>
      <w:proofErr w:type="spellStart"/>
      <w:r>
        <w:t>floorspace</w:t>
      </w:r>
      <w:proofErr w:type="spellEnd"/>
      <w:r>
        <w:t xml:space="preserve"> on site.</w:t>
      </w:r>
    </w:p>
    <w:p w:rsidR="009C4B3B" w:rsidRPr="00A93CE9" w:rsidRDefault="009C4B3B" w:rsidP="009C4B3B">
      <w:pPr>
        <w:spacing w:after="0"/>
        <w:rPr>
          <w:b/>
          <w:color w:val="9BBB59" w:themeColor="accent3"/>
          <w:sz w:val="32"/>
          <w:szCs w:val="32"/>
        </w:rPr>
      </w:pPr>
      <w:r>
        <w:rPr>
          <w:b/>
          <w:color w:val="9BBB59" w:themeColor="accent3"/>
          <w:sz w:val="32"/>
          <w:szCs w:val="32"/>
        </w:rPr>
        <w:t>Q. What is the definition of “Chargeable D</w:t>
      </w:r>
      <w:r w:rsidRPr="00A93CE9">
        <w:rPr>
          <w:b/>
          <w:color w:val="9BBB59" w:themeColor="accent3"/>
          <w:sz w:val="32"/>
          <w:szCs w:val="32"/>
        </w:rPr>
        <w:t>evelopment</w:t>
      </w:r>
      <w:r>
        <w:rPr>
          <w:b/>
          <w:color w:val="9BBB59" w:themeColor="accent3"/>
          <w:sz w:val="32"/>
          <w:szCs w:val="32"/>
        </w:rPr>
        <w:t>”?</w:t>
      </w:r>
    </w:p>
    <w:p w:rsidR="009C4B3B" w:rsidRDefault="009C4B3B" w:rsidP="009C4B3B">
      <w:pPr>
        <w:spacing w:before="120" w:after="120"/>
      </w:pPr>
      <w:r w:rsidRPr="00A93CE9">
        <w:t xml:space="preserve">Chargeable development is the development for which </w:t>
      </w:r>
      <w:r w:rsidRPr="003D189E">
        <w:rPr>
          <w:i/>
        </w:rPr>
        <w:t>"planning permission"</w:t>
      </w:r>
      <w:r w:rsidRPr="00A93CE9">
        <w:t xml:space="preserve"> is granted. Planning permission, for the purposes of </w:t>
      </w:r>
      <w:r>
        <w:t>the operation of the levy</w:t>
      </w:r>
      <w:r w:rsidRPr="00A93CE9">
        <w:t xml:space="preserve">, covers a planning permission granted by the </w:t>
      </w:r>
      <w:r w:rsidR="00034F0E">
        <w:t>LPA</w:t>
      </w:r>
      <w:r w:rsidRPr="00A93CE9">
        <w:t xml:space="preserve"> </w:t>
      </w:r>
      <w:r>
        <w:t>(o</w:t>
      </w:r>
      <w:r w:rsidRPr="00A93CE9">
        <w:t>r by the Secretary of State</w:t>
      </w:r>
      <w:r>
        <w:t>, e.g. on appeal).</w:t>
      </w:r>
    </w:p>
    <w:p w:rsidR="009C4B3B" w:rsidRDefault="009C4B3B" w:rsidP="009C4B3B">
      <w:pPr>
        <w:spacing w:before="120" w:after="120"/>
      </w:pPr>
      <w:r>
        <w:t xml:space="preserve">It also covers </w:t>
      </w:r>
      <w:r w:rsidRPr="00A93CE9">
        <w:t>general consents, namely, planning permissions deemed to be granted resu</w:t>
      </w:r>
      <w:r>
        <w:t xml:space="preserve">lting from a development order – </w:t>
      </w:r>
      <w:r w:rsidRPr="00A93CE9">
        <w:t>for example, permitted development rights.</w:t>
      </w:r>
    </w:p>
    <w:p w:rsidR="009C4B3B" w:rsidRPr="00A93CE9" w:rsidRDefault="009C4B3B" w:rsidP="009C4B3B">
      <w:pPr>
        <w:spacing w:before="120" w:after="120"/>
      </w:pPr>
      <w:r w:rsidRPr="00A93CE9">
        <w:t xml:space="preserve">It is the </w:t>
      </w:r>
      <w:r>
        <w:t xml:space="preserve">scale of </w:t>
      </w:r>
      <w:r w:rsidRPr="00A93CE9">
        <w:t xml:space="preserve">chargeable development which sets the </w:t>
      </w:r>
      <w:r>
        <w:t xml:space="preserve">levy </w:t>
      </w:r>
      <w:r w:rsidRPr="00A93CE9">
        <w:t>calculation.</w:t>
      </w:r>
    </w:p>
    <w:p w:rsidR="009C4B3B" w:rsidRPr="00A93CE9" w:rsidRDefault="009C4B3B" w:rsidP="009C4B3B">
      <w:pPr>
        <w:spacing w:after="0"/>
        <w:rPr>
          <w:b/>
          <w:color w:val="9BBB59" w:themeColor="accent3"/>
          <w:sz w:val="32"/>
          <w:szCs w:val="32"/>
        </w:rPr>
      </w:pPr>
      <w:r>
        <w:rPr>
          <w:b/>
          <w:color w:val="9BBB59" w:themeColor="accent3"/>
          <w:sz w:val="32"/>
          <w:szCs w:val="32"/>
        </w:rPr>
        <w:t xml:space="preserve">Q. </w:t>
      </w:r>
      <w:r w:rsidRPr="00A93CE9">
        <w:rPr>
          <w:b/>
          <w:color w:val="9BBB59" w:themeColor="accent3"/>
          <w:sz w:val="32"/>
          <w:szCs w:val="32"/>
        </w:rPr>
        <w:t>When does a planning permission first permit chargeable development?</w:t>
      </w:r>
    </w:p>
    <w:p w:rsidR="009C4B3B" w:rsidRPr="00783CE4" w:rsidRDefault="009C4B3B" w:rsidP="009C4B3B">
      <w:pPr>
        <w:spacing w:before="120" w:after="120"/>
      </w:pPr>
      <w:r w:rsidRPr="00783CE4">
        <w:t xml:space="preserve">In the case of a </w:t>
      </w:r>
      <w:r>
        <w:t xml:space="preserve">full </w:t>
      </w:r>
      <w:r w:rsidRPr="00783CE4">
        <w:t xml:space="preserve">detailed planning permission, the day on which it is </w:t>
      </w:r>
      <w:proofErr w:type="gramStart"/>
      <w:r w:rsidRPr="00783CE4">
        <w:t>granted,</w:t>
      </w:r>
      <w:proofErr w:type="gramEnd"/>
      <w:r w:rsidRPr="00783CE4">
        <w:t xml:space="preserve"> unless it is subject to a condition requiring further approval to be obtained before development can begin. In that situation, the date is postponed until final approval is given.</w:t>
      </w:r>
    </w:p>
    <w:p w:rsidR="009C4B3B" w:rsidRDefault="009C4B3B" w:rsidP="009C4B3B">
      <w:pPr>
        <w:spacing w:before="120" w:after="120"/>
      </w:pPr>
      <w:r w:rsidRPr="00783CE4">
        <w:t xml:space="preserve">In the case of outline planning permission, it is the date when final approval is given to the last reserved matter. </w:t>
      </w:r>
    </w:p>
    <w:p w:rsidR="009C4B3B" w:rsidRPr="00783CE4" w:rsidRDefault="009C4B3B" w:rsidP="009C4B3B">
      <w:pPr>
        <w:spacing w:before="120" w:after="120"/>
      </w:pPr>
      <w:r w:rsidRPr="00783CE4">
        <w:t xml:space="preserve">With a general consent, it is the date on which the </w:t>
      </w:r>
      <w:r w:rsidR="00034F0E">
        <w:t>LPA</w:t>
      </w:r>
      <w:r w:rsidR="008315BB">
        <w:t xml:space="preserve"> receives a Notice of C</w:t>
      </w:r>
      <w:r w:rsidRPr="00783CE4">
        <w:t xml:space="preserve">hargeable </w:t>
      </w:r>
      <w:r w:rsidR="008315BB">
        <w:t>D</w:t>
      </w:r>
      <w:r w:rsidRPr="00783CE4">
        <w:t>evelopment. If no such notice is submitted, it is the date on which the last person, who is an owner of the land, has been served by t</w:t>
      </w:r>
      <w:r w:rsidR="008315BB">
        <w:t xml:space="preserve">he </w:t>
      </w:r>
      <w:r w:rsidR="00034F0E">
        <w:t>LPA</w:t>
      </w:r>
      <w:r w:rsidR="008315BB">
        <w:t xml:space="preserve"> with a N</w:t>
      </w:r>
      <w:r w:rsidRPr="00783CE4">
        <w:t>o</w:t>
      </w:r>
      <w:r>
        <w:t xml:space="preserve">tice of </w:t>
      </w:r>
      <w:r w:rsidR="008315BB">
        <w:t>C</w:t>
      </w:r>
      <w:r>
        <w:t xml:space="preserve">hargeable </w:t>
      </w:r>
      <w:r w:rsidR="008315BB">
        <w:t>D</w:t>
      </w:r>
      <w:r>
        <w:t>evelopment.</w:t>
      </w:r>
    </w:p>
    <w:p w:rsidR="008315BB" w:rsidRDefault="008315BB">
      <w:pPr>
        <w:rPr>
          <w:b/>
          <w:color w:val="9BBB59" w:themeColor="accent3"/>
          <w:sz w:val="32"/>
          <w:szCs w:val="32"/>
        </w:rPr>
      </w:pPr>
      <w:r>
        <w:rPr>
          <w:b/>
          <w:color w:val="9BBB59" w:themeColor="accent3"/>
          <w:sz w:val="32"/>
          <w:szCs w:val="32"/>
        </w:rPr>
        <w:br w:type="page"/>
      </w:r>
    </w:p>
    <w:p w:rsidR="009C4B3B" w:rsidRPr="00B97B4A" w:rsidRDefault="009C4B3B" w:rsidP="009C4B3B">
      <w:pPr>
        <w:spacing w:before="120" w:after="120"/>
        <w:rPr>
          <w:b/>
          <w:color w:val="9BBB59" w:themeColor="accent3"/>
          <w:sz w:val="32"/>
          <w:szCs w:val="32"/>
        </w:rPr>
      </w:pPr>
      <w:r>
        <w:rPr>
          <w:b/>
          <w:color w:val="9BBB59" w:themeColor="accent3"/>
          <w:sz w:val="32"/>
          <w:szCs w:val="32"/>
        </w:rPr>
        <w:lastRenderedPageBreak/>
        <w:t>Q. What is a Notice of C</w:t>
      </w:r>
      <w:r w:rsidRPr="00B97B4A">
        <w:rPr>
          <w:b/>
          <w:color w:val="9BBB59" w:themeColor="accent3"/>
          <w:sz w:val="32"/>
          <w:szCs w:val="32"/>
        </w:rPr>
        <w:t xml:space="preserve">hargeable </w:t>
      </w:r>
      <w:r>
        <w:rPr>
          <w:b/>
          <w:color w:val="9BBB59" w:themeColor="accent3"/>
          <w:sz w:val="32"/>
          <w:szCs w:val="32"/>
        </w:rPr>
        <w:t>D</w:t>
      </w:r>
      <w:r w:rsidRPr="00B97B4A">
        <w:rPr>
          <w:b/>
          <w:color w:val="9BBB59" w:themeColor="accent3"/>
          <w:sz w:val="32"/>
          <w:szCs w:val="32"/>
        </w:rPr>
        <w:t>evelopment?</w:t>
      </w:r>
    </w:p>
    <w:p w:rsidR="009C4B3B" w:rsidRPr="00B97B4A" w:rsidRDefault="009C4B3B" w:rsidP="009C4B3B">
      <w:pPr>
        <w:spacing w:before="120" w:after="120"/>
      </w:pPr>
      <w:r w:rsidRPr="00B97B4A">
        <w:t xml:space="preserve">The purpose of the notice is to give the </w:t>
      </w:r>
      <w:r w:rsidR="00034F0E">
        <w:t>LPA</w:t>
      </w:r>
      <w:r w:rsidRPr="00B97B4A">
        <w:t xml:space="preserve"> enough information to calculate the amount of the charge due. The procedural requirements are set out in Regulation 64 (as amended by the 2011 Regulations and the 2014 Regulations).</w:t>
      </w:r>
    </w:p>
    <w:p w:rsidR="009C4B3B" w:rsidRPr="00B97B4A" w:rsidRDefault="009C4B3B" w:rsidP="009C4B3B">
      <w:pPr>
        <w:spacing w:before="120" w:after="120"/>
      </w:pPr>
      <w:r w:rsidRPr="00B97B4A">
        <w:t xml:space="preserve">Where the </w:t>
      </w:r>
      <w:r w:rsidR="00034F0E">
        <w:t>LPA</w:t>
      </w:r>
      <w:r w:rsidR="008315BB">
        <w:t xml:space="preserve"> does not receive a Notice of C</w:t>
      </w:r>
      <w:r w:rsidRPr="00B97B4A">
        <w:t xml:space="preserve">hargeable </w:t>
      </w:r>
      <w:r w:rsidR="008315BB">
        <w:t>D</w:t>
      </w:r>
      <w:r w:rsidRPr="00B97B4A">
        <w:t>evelopment but is aware that development has started, it must prepare the notice and serve it on each person known</w:t>
      </w:r>
      <w:r>
        <w:t xml:space="preserve"> to them as an owner of land – R</w:t>
      </w:r>
      <w:r w:rsidRPr="00B97B4A">
        <w:t>egulation 64A (as amended by the 2014 Regulations) covers this situation.</w:t>
      </w:r>
    </w:p>
    <w:p w:rsidR="009C4B3B" w:rsidRPr="008315BB" w:rsidRDefault="009C4B3B" w:rsidP="009C4B3B">
      <w:pPr>
        <w:spacing w:before="120" w:after="120"/>
        <w:rPr>
          <w:b/>
          <w:color w:val="9BBB59" w:themeColor="accent3"/>
          <w:sz w:val="32"/>
          <w:szCs w:val="32"/>
        </w:rPr>
      </w:pPr>
      <w:r w:rsidRPr="008315BB">
        <w:rPr>
          <w:b/>
          <w:color w:val="9BBB59" w:themeColor="accent3"/>
          <w:sz w:val="32"/>
          <w:szCs w:val="32"/>
        </w:rPr>
        <w:t>Q. What is a Liability Notice? And when is it issued?</w:t>
      </w:r>
    </w:p>
    <w:p w:rsidR="009C4B3B" w:rsidRPr="008315BB" w:rsidRDefault="009C4B3B" w:rsidP="009C4B3B">
      <w:pPr>
        <w:spacing w:before="120" w:after="120"/>
      </w:pPr>
      <w:r w:rsidRPr="008315BB">
        <w:t xml:space="preserve">The </w:t>
      </w:r>
      <w:r w:rsidR="00034F0E">
        <w:t>LPA</w:t>
      </w:r>
      <w:r w:rsidRPr="008315BB">
        <w:t xml:space="preserve"> must issue a liability notice as soon as practicable after the time at which the planning permission first permits chargeable development. The notice specifies the amount of the levy (the chargeable amount) that is payable for the chargeable development. The chargeable amount is a local land charge.</w:t>
      </w:r>
    </w:p>
    <w:p w:rsidR="009C4B3B" w:rsidRPr="008315BB" w:rsidRDefault="009C4B3B" w:rsidP="009C4B3B">
      <w:pPr>
        <w:spacing w:before="120" w:after="120"/>
      </w:pPr>
      <w:r w:rsidRPr="008315BB">
        <w:t>In the case of an outline planning application, planning permission first permits development on the day of the final approval of the last reserved matter associated with the permission.</w:t>
      </w:r>
    </w:p>
    <w:p w:rsidR="009C4B3B" w:rsidRDefault="009C4B3B" w:rsidP="009C4B3B">
      <w:pPr>
        <w:spacing w:before="120" w:after="120"/>
      </w:pPr>
      <w:r w:rsidRPr="008315BB">
        <w:t>A revised Liability Notice will be issued every time the levy charge changes, e.g. if the floor area changes, or if a surcharge is applicable.</w:t>
      </w:r>
    </w:p>
    <w:p w:rsidR="009C4B3B" w:rsidRPr="008315BB" w:rsidRDefault="009C4B3B" w:rsidP="009C4B3B">
      <w:pPr>
        <w:spacing w:before="120" w:after="120"/>
        <w:rPr>
          <w:b/>
          <w:color w:val="9BBB59" w:themeColor="accent3"/>
          <w:sz w:val="32"/>
          <w:szCs w:val="32"/>
        </w:rPr>
      </w:pPr>
      <w:r w:rsidRPr="008315BB">
        <w:rPr>
          <w:b/>
          <w:color w:val="9BBB59" w:themeColor="accent3"/>
          <w:sz w:val="32"/>
          <w:szCs w:val="32"/>
        </w:rPr>
        <w:t>Q. What is an “Assumption of Liability Notice”?</w:t>
      </w:r>
    </w:p>
    <w:p w:rsidR="009C4B3B" w:rsidRPr="008315BB" w:rsidRDefault="009C4B3B" w:rsidP="009C4B3B">
      <w:pPr>
        <w:spacing w:before="120" w:after="120"/>
      </w:pPr>
      <w:r w:rsidRPr="008315BB">
        <w:t>Anyone may assume liability to pay the levy for a proposed development scheme. For example, this may be the developer who has applied for planning permission or the development’s landowner.</w:t>
      </w:r>
    </w:p>
    <w:p w:rsidR="008315BB" w:rsidRPr="008315BB" w:rsidRDefault="009C4B3B" w:rsidP="009C4B3B">
      <w:pPr>
        <w:spacing w:before="120" w:after="120"/>
      </w:pPr>
      <w:r w:rsidRPr="008315BB">
        <w:t>If no party assumes liability to pay the levy before development commences, the owners of land will be liable to pay the levy and wi</w:t>
      </w:r>
      <w:r w:rsidR="008315BB" w:rsidRPr="008315BB">
        <w:t>ll not be able to benefit from South Somerset’s I</w:t>
      </w:r>
      <w:r w:rsidRPr="008315BB">
        <w:t xml:space="preserve">nstalment </w:t>
      </w:r>
      <w:r w:rsidR="008315BB" w:rsidRPr="008315BB">
        <w:t xml:space="preserve">Policy </w:t>
      </w:r>
      <w:r w:rsidRPr="008315BB">
        <w:t xml:space="preserve">– see Regulation 33 for further details. </w:t>
      </w:r>
    </w:p>
    <w:p w:rsidR="009C4B3B" w:rsidRPr="008315BB" w:rsidRDefault="009C4B3B" w:rsidP="009C4B3B">
      <w:pPr>
        <w:spacing w:before="120" w:after="120"/>
      </w:pPr>
      <w:r w:rsidRPr="008315BB">
        <w:t>If no party comes forward to assume liability, collecting authorities may wish to contact potential persons who may wish to assume liability and point out the benefits of assuming liability.</w:t>
      </w:r>
    </w:p>
    <w:p w:rsidR="009C4B3B" w:rsidRPr="008315BB" w:rsidRDefault="009C4B3B" w:rsidP="009C4B3B">
      <w:pPr>
        <w:spacing w:before="120" w:after="120"/>
      </w:pPr>
      <w:r w:rsidRPr="008315BB">
        <w:t xml:space="preserve">Any party wishing to assume liability should submit an Assumption of Liability form to the </w:t>
      </w:r>
      <w:r w:rsidR="00034F0E">
        <w:t>LPA</w:t>
      </w:r>
      <w:r w:rsidRPr="008315BB">
        <w:t xml:space="preserve">. Once the form has been received, the </w:t>
      </w:r>
      <w:r w:rsidR="00034F0E">
        <w:t>LPA</w:t>
      </w:r>
      <w:r w:rsidRPr="008315BB">
        <w:t xml:space="preserve"> must send an acknowledgement to the liable person(s).</w:t>
      </w:r>
    </w:p>
    <w:p w:rsidR="009C4B3B" w:rsidRPr="008315BB" w:rsidRDefault="009C4B3B" w:rsidP="009C4B3B">
      <w:pPr>
        <w:spacing w:before="120" w:after="120"/>
      </w:pPr>
      <w:r w:rsidRPr="008315BB">
        <w:t xml:space="preserve">Where a party has assumed liability yet failed to pay all its charge (despite the </w:t>
      </w:r>
      <w:r w:rsidR="00034F0E">
        <w:t>LPA</w:t>
      </w:r>
      <w:r w:rsidRPr="008315BB">
        <w:t xml:space="preserve"> making all reasonable efforts), the </w:t>
      </w:r>
      <w:r w:rsidR="00034F0E">
        <w:t>LPA</w:t>
      </w:r>
      <w:r w:rsidRPr="008315BB">
        <w:t xml:space="preserve"> may issue a default liability notice to the owners of any material interest in the land within the chargeable development. </w:t>
      </w:r>
    </w:p>
    <w:p w:rsidR="009C4B3B" w:rsidRPr="008315BB" w:rsidRDefault="009C4B3B" w:rsidP="009C4B3B">
      <w:pPr>
        <w:spacing w:before="120" w:after="120"/>
      </w:pPr>
      <w:r w:rsidRPr="008315BB">
        <w:t xml:space="preserve">Parties may transfer liability to pay at any time up to the day before the date when final payment is due. This is done by submitting a ‘Transfer of Assumed Liability’ form to the </w:t>
      </w:r>
      <w:r w:rsidR="00034F0E">
        <w:t>LPA</w:t>
      </w:r>
      <w:r w:rsidRPr="008315BB">
        <w:t xml:space="preserve">. The </w:t>
      </w:r>
      <w:r w:rsidR="00034F0E">
        <w:t>LPA</w:t>
      </w:r>
      <w:r w:rsidRPr="008315BB">
        <w:t xml:space="preserve"> must send an acknowledgement to both the person liable to pay, and the person applying for the transfer of liability.</w:t>
      </w:r>
    </w:p>
    <w:p w:rsidR="008315BB" w:rsidRDefault="008315BB">
      <w:pPr>
        <w:rPr>
          <w:b/>
          <w:color w:val="9BBB59" w:themeColor="accent3"/>
          <w:sz w:val="32"/>
          <w:szCs w:val="32"/>
        </w:rPr>
      </w:pPr>
      <w:r>
        <w:rPr>
          <w:b/>
          <w:color w:val="9BBB59" w:themeColor="accent3"/>
          <w:sz w:val="32"/>
          <w:szCs w:val="32"/>
        </w:rPr>
        <w:br w:type="page"/>
      </w:r>
    </w:p>
    <w:p w:rsidR="00744164" w:rsidRPr="00744164" w:rsidRDefault="00744164" w:rsidP="00744164">
      <w:pPr>
        <w:rPr>
          <w:b/>
          <w:color w:val="9BBB59" w:themeColor="accent3"/>
          <w:sz w:val="32"/>
          <w:szCs w:val="32"/>
        </w:rPr>
      </w:pPr>
      <w:r w:rsidRPr="00744164">
        <w:rPr>
          <w:b/>
          <w:color w:val="9BBB59" w:themeColor="accent3"/>
          <w:sz w:val="32"/>
          <w:szCs w:val="32"/>
        </w:rPr>
        <w:lastRenderedPageBreak/>
        <w:t>Q. Default of Liability Notices</w:t>
      </w:r>
    </w:p>
    <w:p w:rsidR="00744164" w:rsidRDefault="00744164" w:rsidP="00744164">
      <w:pPr>
        <w:spacing w:before="120" w:after="120"/>
      </w:pPr>
      <w:r w:rsidRPr="00744164">
        <w:t xml:space="preserve">Where a person assumed liability to pay </w:t>
      </w:r>
      <w:r>
        <w:t>the levy</w:t>
      </w:r>
      <w:r w:rsidRPr="00744164">
        <w:t xml:space="preserve"> and the </w:t>
      </w:r>
      <w:r w:rsidR="00034F0E">
        <w:t>LPA</w:t>
      </w:r>
      <w:r w:rsidRPr="00744164">
        <w:t xml:space="preserve"> has been unable to recover an amount, </w:t>
      </w:r>
      <w:r>
        <w:t>it</w:t>
      </w:r>
      <w:r w:rsidRPr="00744164">
        <w:t xml:space="preserve"> may determine that liability to pay that amount is transferred to the owners of the relevant land. </w:t>
      </w:r>
    </w:p>
    <w:p w:rsidR="00744164" w:rsidRPr="00744164" w:rsidRDefault="00744164" w:rsidP="00744164">
      <w:pPr>
        <w:spacing w:before="120" w:after="120"/>
      </w:pPr>
      <w:r w:rsidRPr="00744164">
        <w:t xml:space="preserve">However, a </w:t>
      </w:r>
      <w:r w:rsidR="00034F0E">
        <w:t>LPA</w:t>
      </w:r>
      <w:r w:rsidRPr="00744164">
        <w:t xml:space="preserve"> may not make a determination before it has made all reasonable effort to recover that amount using one or more of the remedies provided for in Chapter 3 of Part 9 of the 2010 Regulations.</w:t>
      </w:r>
    </w:p>
    <w:p w:rsidR="00744164" w:rsidRPr="00744164" w:rsidRDefault="00744164" w:rsidP="00744164">
      <w:pPr>
        <w:spacing w:before="120" w:after="120"/>
      </w:pPr>
      <w:r w:rsidRPr="00744164">
        <w:t xml:space="preserve">A </w:t>
      </w:r>
      <w:r w:rsidR="00034F0E">
        <w:t>LPA</w:t>
      </w:r>
      <w:r w:rsidRPr="00744164">
        <w:t>, which makes a determination, must issue and serve a</w:t>
      </w:r>
      <w:r>
        <w:t xml:space="preserve"> Default of L</w:t>
      </w:r>
      <w:r w:rsidRPr="00744164">
        <w:t xml:space="preserve">iability </w:t>
      </w:r>
      <w:r>
        <w:t>N</w:t>
      </w:r>
      <w:r w:rsidRPr="00744164">
        <w:t xml:space="preserve">otice and apportion liability to pay that amount between each material interest in the relevant land, such apportionment adopting the same approach as specified above under Where no assumption of liability notice. A </w:t>
      </w:r>
      <w:r w:rsidR="00034F0E">
        <w:t>LPA</w:t>
      </w:r>
      <w:r w:rsidRPr="00744164">
        <w:t xml:space="preserve">, which has made a determination, may not impose a surcharge or serve a </w:t>
      </w:r>
      <w:r>
        <w:t>levy</w:t>
      </w:r>
      <w:r w:rsidRPr="00744164">
        <w:t xml:space="preserve"> stop notice before the end of the period of seven days beginning with the day on which the default of liability notice is issued. </w:t>
      </w:r>
    </w:p>
    <w:p w:rsidR="009C4B3B" w:rsidRPr="00EB1AAD" w:rsidRDefault="009C4B3B" w:rsidP="009C4B3B">
      <w:pPr>
        <w:spacing w:before="120" w:after="120"/>
        <w:rPr>
          <w:b/>
          <w:color w:val="9BBB59" w:themeColor="accent3"/>
          <w:sz w:val="32"/>
          <w:szCs w:val="32"/>
        </w:rPr>
      </w:pPr>
      <w:r w:rsidRPr="00EB1AAD">
        <w:rPr>
          <w:b/>
          <w:color w:val="9BBB59" w:themeColor="accent3"/>
          <w:sz w:val="32"/>
          <w:szCs w:val="32"/>
        </w:rPr>
        <w:t>Q. What is a “Commencement Notice”?</w:t>
      </w:r>
    </w:p>
    <w:p w:rsidR="009C4B3B" w:rsidRPr="0083002A" w:rsidRDefault="009C4B3B" w:rsidP="009C4B3B">
      <w:pPr>
        <w:spacing w:before="120" w:after="120"/>
      </w:pPr>
      <w:r w:rsidRPr="00EB1AAD">
        <w:t xml:space="preserve">The </w:t>
      </w:r>
      <w:r w:rsidR="00EB1AAD" w:rsidRPr="00EB1AAD">
        <w:t>Commencement N</w:t>
      </w:r>
      <w:r w:rsidRPr="00EB1AAD">
        <w:t xml:space="preserve">otice must identify the liability notice (see above) issued for the chargeable development and state the intended commencement date of </w:t>
      </w:r>
      <w:r w:rsidR="00EB1AAD" w:rsidRPr="00EB1AAD">
        <w:t>the development. A copy of the Commencement N</w:t>
      </w:r>
      <w:r w:rsidRPr="00EB1AAD">
        <w:t>otice must be served on the owner(s) (with a material interest as defined below) of the relevant land by the person who submitted</w:t>
      </w:r>
      <w:r w:rsidR="00EB1AAD" w:rsidRPr="00EB1AAD">
        <w:t xml:space="preserve"> the Commencement N</w:t>
      </w:r>
      <w:r w:rsidRPr="00EB1AAD">
        <w:t xml:space="preserve">otice. The notices have a prescribed form and notices submitted can be withdrawn before </w:t>
      </w:r>
      <w:r w:rsidRPr="0083002A">
        <w:t xml:space="preserve">the chargeable development commences by notifying the </w:t>
      </w:r>
      <w:r w:rsidR="00034F0E">
        <w:t>LPA</w:t>
      </w:r>
      <w:r w:rsidRPr="0083002A">
        <w:t>.</w:t>
      </w:r>
    </w:p>
    <w:p w:rsidR="0083002A" w:rsidRPr="0083002A" w:rsidRDefault="0083002A" w:rsidP="0083002A">
      <w:pPr>
        <w:spacing w:before="120" w:after="120"/>
        <w:rPr>
          <w:b/>
          <w:color w:val="9BBB59" w:themeColor="accent3"/>
          <w:sz w:val="32"/>
          <w:szCs w:val="32"/>
        </w:rPr>
      </w:pPr>
      <w:r>
        <w:rPr>
          <w:b/>
          <w:color w:val="9BBB59" w:themeColor="accent3"/>
          <w:sz w:val="32"/>
          <w:szCs w:val="32"/>
        </w:rPr>
        <w:t>Q. What classifies as the “</w:t>
      </w:r>
      <w:r w:rsidRPr="00C21D7C">
        <w:rPr>
          <w:b/>
          <w:color w:val="9BBB59" w:themeColor="accent3"/>
          <w:sz w:val="32"/>
          <w:szCs w:val="32"/>
        </w:rPr>
        <w:t>Commencement</w:t>
      </w:r>
      <w:r>
        <w:rPr>
          <w:b/>
          <w:color w:val="9BBB59" w:themeColor="accent3"/>
          <w:sz w:val="32"/>
          <w:szCs w:val="32"/>
        </w:rPr>
        <w:t>”</w:t>
      </w:r>
      <w:r w:rsidRPr="00C21D7C">
        <w:rPr>
          <w:b/>
          <w:color w:val="9BBB59" w:themeColor="accent3"/>
          <w:sz w:val="32"/>
          <w:szCs w:val="32"/>
        </w:rPr>
        <w:t xml:space="preserve"> of </w:t>
      </w:r>
      <w:r w:rsidRPr="0083002A">
        <w:rPr>
          <w:b/>
          <w:color w:val="9BBB59" w:themeColor="accent3"/>
          <w:sz w:val="32"/>
          <w:szCs w:val="32"/>
        </w:rPr>
        <w:t>development?</w:t>
      </w:r>
    </w:p>
    <w:p w:rsidR="0083002A" w:rsidRPr="0083002A" w:rsidRDefault="0083002A" w:rsidP="0083002A">
      <w:pPr>
        <w:spacing w:before="120" w:after="120"/>
      </w:pPr>
      <w:r w:rsidRPr="0083002A">
        <w:t>A person becomes liable for the levy when the development is commenced. Development is to be treated as commencing on the earliest date on which any material operation begins to be carried out on the relevant land, subject to certain exceptions. "Material operation" has the same meaning as in Section 56(4) of the Town and Country Planning Act 1990 (time when development begun). This includes constructing or demolishing a building, digging foundations or laying pipes, constructing a road or any material change in the use of the land. The levy charge may, therefore, fall due, even though construction of the buildings on site may not have started.</w:t>
      </w:r>
    </w:p>
    <w:p w:rsidR="009C4B3B" w:rsidRPr="0083002A" w:rsidRDefault="009C4B3B" w:rsidP="009C4B3B">
      <w:pPr>
        <w:spacing w:before="120" w:after="120"/>
        <w:rPr>
          <w:b/>
          <w:color w:val="9BBB59" w:themeColor="accent3"/>
          <w:sz w:val="32"/>
          <w:szCs w:val="32"/>
        </w:rPr>
      </w:pPr>
      <w:r w:rsidRPr="0083002A">
        <w:rPr>
          <w:b/>
          <w:color w:val="9BBB59" w:themeColor="accent3"/>
          <w:sz w:val="32"/>
          <w:szCs w:val="32"/>
        </w:rPr>
        <w:t>Q. When is a “Deemed Commencement Notice”?</w:t>
      </w:r>
    </w:p>
    <w:p w:rsidR="009C4B3B" w:rsidRPr="0083002A" w:rsidRDefault="009C4B3B" w:rsidP="009C4B3B">
      <w:pPr>
        <w:spacing w:before="120" w:after="120"/>
      </w:pPr>
      <w:r w:rsidRPr="0083002A">
        <w:t xml:space="preserve">If a </w:t>
      </w:r>
      <w:r w:rsidR="00034F0E">
        <w:t>LPA</w:t>
      </w:r>
      <w:r w:rsidRPr="0083002A">
        <w:t xml:space="preserve"> -</w:t>
      </w:r>
    </w:p>
    <w:p w:rsidR="009C4B3B" w:rsidRPr="0083002A" w:rsidRDefault="009C4B3B" w:rsidP="009C4B3B">
      <w:pPr>
        <w:spacing w:before="120" w:after="120"/>
      </w:pPr>
      <w:r w:rsidRPr="0083002A">
        <w:t>(a</w:t>
      </w:r>
      <w:r w:rsidR="0083002A">
        <w:t xml:space="preserve">) </w:t>
      </w:r>
      <w:proofErr w:type="gramStart"/>
      <w:r w:rsidR="0083002A">
        <w:t>has</w:t>
      </w:r>
      <w:proofErr w:type="gramEnd"/>
      <w:r w:rsidR="0083002A">
        <w:t xml:space="preserve"> not received a Commencement N</w:t>
      </w:r>
      <w:r w:rsidRPr="0083002A">
        <w:t>otice in respect of the chargeable development, but has reason to believe it has been commenced; or</w:t>
      </w:r>
    </w:p>
    <w:p w:rsidR="009C4B3B" w:rsidRPr="0083002A" w:rsidRDefault="0083002A" w:rsidP="009C4B3B">
      <w:pPr>
        <w:spacing w:before="120" w:after="120"/>
      </w:pPr>
      <w:r>
        <w:t xml:space="preserve">(b) </w:t>
      </w:r>
      <w:proofErr w:type="gramStart"/>
      <w:r>
        <w:t>has</w:t>
      </w:r>
      <w:proofErr w:type="gramEnd"/>
      <w:r>
        <w:t xml:space="preserve"> received a C</w:t>
      </w:r>
      <w:r w:rsidR="009C4B3B" w:rsidRPr="0083002A">
        <w:t xml:space="preserve">ommencement </w:t>
      </w:r>
      <w:r>
        <w:t>N</w:t>
      </w:r>
      <w:r w:rsidR="009C4B3B" w:rsidRPr="0083002A">
        <w:t>otice in respect of the chargeable development, but has reason to believe that it was commenced earlier than the intended commencement date;</w:t>
      </w:r>
    </w:p>
    <w:p w:rsidR="00744164" w:rsidRDefault="009C4B3B" w:rsidP="009C4B3B">
      <w:pPr>
        <w:spacing w:before="120" w:after="120"/>
      </w:pPr>
      <w:proofErr w:type="gramStart"/>
      <w:r w:rsidRPr="0083002A">
        <w:t>it</w:t>
      </w:r>
      <w:proofErr w:type="gramEnd"/>
      <w:r w:rsidRPr="0083002A">
        <w:t xml:space="preserve"> must determine the day on which a chargeable development was comme</w:t>
      </w:r>
      <w:r w:rsidR="0083002A" w:rsidRPr="0083002A">
        <w:t>nced (the "Deemed Commencement D</w:t>
      </w:r>
      <w:r w:rsidRPr="0083002A">
        <w:t>ate").</w:t>
      </w:r>
    </w:p>
    <w:p w:rsidR="00744164" w:rsidRDefault="00744164">
      <w:r>
        <w:br w:type="page"/>
      </w:r>
    </w:p>
    <w:p w:rsidR="009C4B3B" w:rsidRPr="0083002A" w:rsidRDefault="009C4B3B" w:rsidP="009C4B3B">
      <w:pPr>
        <w:spacing w:before="120" w:after="120"/>
        <w:rPr>
          <w:b/>
          <w:color w:val="9BBB59" w:themeColor="accent3"/>
          <w:sz w:val="32"/>
          <w:szCs w:val="32"/>
        </w:rPr>
      </w:pPr>
      <w:r w:rsidRPr="0083002A">
        <w:rPr>
          <w:b/>
          <w:color w:val="9BBB59" w:themeColor="accent3"/>
          <w:sz w:val="32"/>
          <w:szCs w:val="32"/>
        </w:rPr>
        <w:lastRenderedPageBreak/>
        <w:t>Q. When will a “Demand Notice” be issued?</w:t>
      </w:r>
    </w:p>
    <w:p w:rsidR="0083002A" w:rsidRPr="0083002A" w:rsidRDefault="009C4B3B" w:rsidP="009C4B3B">
      <w:pPr>
        <w:spacing w:before="120" w:after="120"/>
      </w:pPr>
      <w:r w:rsidRPr="0083002A">
        <w:t xml:space="preserve">The </w:t>
      </w:r>
      <w:r w:rsidR="00034F0E">
        <w:t>LPA</w:t>
      </w:r>
      <w:r w:rsidR="0083002A" w:rsidRPr="0083002A">
        <w:t xml:space="preserve"> must serve a </w:t>
      </w:r>
      <w:r w:rsidRPr="0083002A">
        <w:t xml:space="preserve">Demand Notice on each person liable to pay the levy. </w:t>
      </w:r>
    </w:p>
    <w:p w:rsidR="0083002A" w:rsidRPr="0083002A" w:rsidRDefault="009C4B3B" w:rsidP="009C4B3B">
      <w:pPr>
        <w:spacing w:before="120" w:after="120"/>
      </w:pPr>
      <w:r w:rsidRPr="0083002A">
        <w:t>The required information for the no</w:t>
      </w:r>
      <w:r w:rsidR="0083002A" w:rsidRPr="0083002A">
        <w:t>tice includes:</w:t>
      </w:r>
    </w:p>
    <w:p w:rsidR="0083002A" w:rsidRPr="0083002A" w:rsidRDefault="009C4B3B" w:rsidP="0083002A">
      <w:pPr>
        <w:pStyle w:val="ListParagraph"/>
        <w:numPr>
          <w:ilvl w:val="0"/>
          <w:numId w:val="41"/>
        </w:numPr>
        <w:spacing w:before="120" w:after="120"/>
      </w:pPr>
      <w:r w:rsidRPr="0083002A">
        <w:t xml:space="preserve">the intended commencement date or, where the </w:t>
      </w:r>
      <w:r w:rsidR="00034F0E">
        <w:t>LPA</w:t>
      </w:r>
      <w:r w:rsidRPr="0083002A">
        <w:t xml:space="preserve"> has determined a deemed commencement date, the deemed commencement date; </w:t>
      </w:r>
    </w:p>
    <w:p w:rsidR="0083002A" w:rsidRPr="0083002A" w:rsidRDefault="009C4B3B" w:rsidP="0083002A">
      <w:pPr>
        <w:pStyle w:val="ListParagraph"/>
        <w:numPr>
          <w:ilvl w:val="0"/>
          <w:numId w:val="41"/>
        </w:numPr>
        <w:spacing w:before="120" w:after="120"/>
      </w:pPr>
      <w:r w:rsidRPr="0083002A">
        <w:t xml:space="preserve">the amount payable by the person on whom the notice is served (including any surcharges imposed in respect of or </w:t>
      </w:r>
      <w:r w:rsidR="0083002A" w:rsidRPr="0083002A">
        <w:t xml:space="preserve">interest applied to the amount); </w:t>
      </w:r>
      <w:r w:rsidRPr="0083002A">
        <w:t xml:space="preserve">and </w:t>
      </w:r>
    </w:p>
    <w:p w:rsidR="009C4B3B" w:rsidRPr="0083002A" w:rsidRDefault="009C4B3B" w:rsidP="0083002A">
      <w:pPr>
        <w:pStyle w:val="ListParagraph"/>
        <w:numPr>
          <w:ilvl w:val="0"/>
          <w:numId w:val="41"/>
        </w:numPr>
        <w:spacing w:before="120" w:after="120"/>
      </w:pPr>
      <w:proofErr w:type="gramStart"/>
      <w:r w:rsidRPr="0083002A">
        <w:t>the</w:t>
      </w:r>
      <w:proofErr w:type="gramEnd"/>
      <w:r w:rsidRPr="0083002A">
        <w:t xml:space="preserve"> day on which payment is due. </w:t>
      </w:r>
    </w:p>
    <w:p w:rsidR="009C4B3B" w:rsidRDefault="009C4B3B" w:rsidP="009C4B3B">
      <w:pPr>
        <w:spacing w:before="120" w:after="120"/>
      </w:pPr>
      <w:r>
        <w:t>In the case of a general consent, a Demand Notice will be issued on receipt of a Notice of Chargeable Development.</w:t>
      </w:r>
    </w:p>
    <w:p w:rsidR="003C34D4" w:rsidRPr="00202FBE" w:rsidRDefault="003C34D4" w:rsidP="003C34D4">
      <w:pPr>
        <w:spacing w:before="120" w:after="120"/>
        <w:rPr>
          <w:b/>
          <w:color w:val="9BBB59" w:themeColor="accent3"/>
          <w:sz w:val="32"/>
          <w:szCs w:val="32"/>
        </w:rPr>
      </w:pPr>
      <w:r>
        <w:rPr>
          <w:b/>
          <w:color w:val="9BBB59" w:themeColor="accent3"/>
          <w:sz w:val="32"/>
          <w:szCs w:val="32"/>
        </w:rPr>
        <w:t xml:space="preserve">Q. </w:t>
      </w:r>
      <w:r w:rsidRPr="00202FBE">
        <w:rPr>
          <w:b/>
          <w:color w:val="9BBB59" w:themeColor="accent3"/>
          <w:sz w:val="32"/>
          <w:szCs w:val="32"/>
        </w:rPr>
        <w:t>Can CIL be paid in instalments?</w:t>
      </w:r>
    </w:p>
    <w:p w:rsidR="003C34D4" w:rsidRPr="00202FBE" w:rsidRDefault="003C34D4" w:rsidP="003C34D4">
      <w:pPr>
        <w:spacing w:before="120" w:after="120"/>
      </w:pPr>
      <w:r w:rsidRPr="00202FBE">
        <w:t xml:space="preserve">Yes, Please read the </w:t>
      </w:r>
      <w:r>
        <w:t xml:space="preserve">South Somerset </w:t>
      </w:r>
      <w:r w:rsidRPr="00202FBE">
        <w:t>Instalments Policy</w:t>
      </w:r>
      <w:r>
        <w:t xml:space="preserve">: </w:t>
      </w:r>
      <w:bookmarkStart w:id="0" w:name="_GoBack"/>
      <w:bookmarkEnd w:id="0"/>
    </w:p>
    <w:p w:rsidR="003C34D4" w:rsidRDefault="003C34D4" w:rsidP="003C34D4">
      <w:pPr>
        <w:spacing w:before="120" w:after="120"/>
      </w:pPr>
      <w:r>
        <w:t>However:</w:t>
      </w:r>
    </w:p>
    <w:p w:rsidR="003C34D4" w:rsidRDefault="003C34D4" w:rsidP="003C34D4">
      <w:pPr>
        <w:pStyle w:val="ListParagraph"/>
        <w:numPr>
          <w:ilvl w:val="0"/>
          <w:numId w:val="36"/>
        </w:numPr>
        <w:spacing w:before="120" w:after="120"/>
      </w:pPr>
      <w:r>
        <w:t>Where no-one has assumed liability but a commencement notice has been received, payment is due immediately upon commencement.</w:t>
      </w:r>
    </w:p>
    <w:p w:rsidR="003C34D4" w:rsidRDefault="003C34D4" w:rsidP="003C34D4">
      <w:pPr>
        <w:pStyle w:val="ListParagraph"/>
        <w:numPr>
          <w:ilvl w:val="0"/>
          <w:numId w:val="36"/>
        </w:numPr>
        <w:spacing w:before="120" w:after="120"/>
      </w:pPr>
      <w:r>
        <w:t>Where the Council has determined a ‘deemed commencement’ date (because no valid Commencement Notice was provided), payment is due on the deemed commencement date.</w:t>
      </w:r>
    </w:p>
    <w:p w:rsidR="003C34D4" w:rsidRDefault="003C34D4" w:rsidP="003C34D4">
      <w:pPr>
        <w:pStyle w:val="ListParagraph"/>
        <w:numPr>
          <w:ilvl w:val="0"/>
          <w:numId w:val="36"/>
        </w:numPr>
        <w:spacing w:before="120" w:after="120"/>
      </w:pPr>
      <w:r>
        <w:t>There are also special provisions under Regulation 71 where the Council has to transfer liability to the land owners or where charitable or social housing relief has been granted and a ‘disqualifying event’ has taken place. These will be unusual events.</w:t>
      </w:r>
    </w:p>
    <w:p w:rsidR="00744164" w:rsidRDefault="00744164">
      <w:pPr>
        <w:rPr>
          <w:b/>
          <w:color w:val="9BBB59" w:themeColor="accent3"/>
          <w:sz w:val="32"/>
          <w:szCs w:val="32"/>
        </w:rPr>
      </w:pPr>
      <w:r>
        <w:rPr>
          <w:b/>
          <w:color w:val="9BBB59" w:themeColor="accent3"/>
          <w:sz w:val="32"/>
          <w:szCs w:val="32"/>
        </w:rPr>
        <w:br w:type="page"/>
      </w:r>
    </w:p>
    <w:p w:rsidR="00CE0FCC" w:rsidRPr="00CE0FCC" w:rsidRDefault="00CE0FCC" w:rsidP="00CE0FCC">
      <w:pPr>
        <w:spacing w:after="0"/>
        <w:rPr>
          <w:b/>
          <w:color w:val="9BBB59" w:themeColor="accent3"/>
          <w:sz w:val="32"/>
          <w:szCs w:val="32"/>
        </w:rPr>
      </w:pPr>
      <w:r>
        <w:rPr>
          <w:b/>
          <w:color w:val="9BBB59" w:themeColor="accent3"/>
          <w:sz w:val="32"/>
          <w:szCs w:val="32"/>
        </w:rPr>
        <w:lastRenderedPageBreak/>
        <w:t xml:space="preserve">Q. </w:t>
      </w:r>
      <w:r w:rsidRPr="00CE0FCC">
        <w:rPr>
          <w:b/>
          <w:color w:val="9BBB59" w:themeColor="accent3"/>
          <w:sz w:val="32"/>
          <w:szCs w:val="32"/>
        </w:rPr>
        <w:t xml:space="preserve">Will </w:t>
      </w:r>
      <w:r w:rsidR="00783CE4">
        <w:rPr>
          <w:b/>
          <w:color w:val="9BBB59" w:themeColor="accent3"/>
          <w:sz w:val="32"/>
          <w:szCs w:val="32"/>
        </w:rPr>
        <w:t xml:space="preserve">the levy </w:t>
      </w:r>
      <w:r w:rsidRPr="00CE0FCC">
        <w:rPr>
          <w:b/>
          <w:color w:val="9BBB59" w:themeColor="accent3"/>
          <w:sz w:val="32"/>
          <w:szCs w:val="32"/>
        </w:rPr>
        <w:t>be charged on conversions and change of use?</w:t>
      </w:r>
    </w:p>
    <w:p w:rsidR="00783CE4" w:rsidRDefault="00783CE4" w:rsidP="00CE0FCC">
      <w:pPr>
        <w:spacing w:before="120" w:after="120"/>
      </w:pPr>
      <w:r>
        <w:t xml:space="preserve">The levy </w:t>
      </w:r>
      <w:r w:rsidR="00CE0FCC">
        <w:t>will be charged where the change of use or conversion</w:t>
      </w:r>
      <w:r>
        <w:t xml:space="preserve"> would result in a new dwelling. This is</w:t>
      </w:r>
      <w:r w:rsidR="00CE0FCC">
        <w:t xml:space="preserve"> unless the building is already in a lawful residential use (i.e. subdivision into multiple flats, for example). </w:t>
      </w:r>
    </w:p>
    <w:p w:rsidR="00CE0FCC" w:rsidRDefault="00783CE4" w:rsidP="00CE0FCC">
      <w:pPr>
        <w:spacing w:before="120" w:after="120"/>
      </w:pPr>
      <w:r>
        <w:t>The overall l</w:t>
      </w:r>
      <w:r w:rsidR="00CE0FCC">
        <w:t xml:space="preserve">iability </w:t>
      </w:r>
      <w:r>
        <w:t xml:space="preserve">can be reduced </w:t>
      </w:r>
      <w:r w:rsidR="00CE0FCC">
        <w:t>by counting the existing floor space against the new floor space proposed, but only where the existing floor space can be proven to have been in a lawful use for a continuous period of at least 6 months within the last 3 years.</w:t>
      </w:r>
    </w:p>
    <w:p w:rsidR="00CE0FCC" w:rsidRPr="00CE0FCC" w:rsidRDefault="00CE0FCC" w:rsidP="00CE0FCC">
      <w:pPr>
        <w:spacing w:after="0"/>
        <w:rPr>
          <w:b/>
          <w:color w:val="9BBB59" w:themeColor="accent3"/>
          <w:sz w:val="32"/>
          <w:szCs w:val="32"/>
        </w:rPr>
      </w:pPr>
      <w:r>
        <w:rPr>
          <w:b/>
          <w:color w:val="9BBB59" w:themeColor="accent3"/>
          <w:sz w:val="32"/>
          <w:szCs w:val="32"/>
        </w:rPr>
        <w:t xml:space="preserve">Q. </w:t>
      </w:r>
      <w:r w:rsidRPr="00CE0FCC">
        <w:rPr>
          <w:b/>
          <w:color w:val="9BBB59" w:themeColor="accent3"/>
          <w:sz w:val="32"/>
          <w:szCs w:val="32"/>
        </w:rPr>
        <w:t xml:space="preserve">Can I count demolished floor space to reduce the amount of </w:t>
      </w:r>
      <w:r w:rsidR="00783CE4">
        <w:rPr>
          <w:b/>
          <w:color w:val="9BBB59" w:themeColor="accent3"/>
          <w:sz w:val="32"/>
          <w:szCs w:val="32"/>
        </w:rPr>
        <w:t>levy</w:t>
      </w:r>
      <w:r w:rsidRPr="00CE0FCC">
        <w:rPr>
          <w:b/>
          <w:color w:val="9BBB59" w:themeColor="accent3"/>
          <w:sz w:val="32"/>
          <w:szCs w:val="32"/>
        </w:rPr>
        <w:t xml:space="preserve"> on my development?</w:t>
      </w:r>
    </w:p>
    <w:p w:rsidR="00CE0FCC" w:rsidRDefault="00783CE4" w:rsidP="00CE0FCC">
      <w:pPr>
        <w:spacing w:before="120" w:after="120"/>
      </w:pPr>
      <w:r>
        <w:t>Yes - d</w:t>
      </w:r>
      <w:r w:rsidR="00CE0FCC">
        <w:t xml:space="preserve">emolished floor space can be counted to reduce the </w:t>
      </w:r>
      <w:r>
        <w:t xml:space="preserve">overall levy </w:t>
      </w:r>
      <w:r w:rsidR="00CE0FCC">
        <w:t xml:space="preserve">amount. However, the building that is being demolished must still be on site on the day </w:t>
      </w:r>
      <w:r>
        <w:t xml:space="preserve">that firsts permits development, </w:t>
      </w:r>
      <w:r w:rsidR="00CE0FCC">
        <w:t xml:space="preserve">and must be proven to have been in lawful use for a minimum of </w:t>
      </w:r>
      <w:r w:rsidR="00586AC2">
        <w:t xml:space="preserve">six </w:t>
      </w:r>
      <w:r w:rsidR="00CE0FCC">
        <w:t>con</w:t>
      </w:r>
      <w:r w:rsidR="00586AC2">
        <w:t>tinuous months within the last three</w:t>
      </w:r>
      <w:r w:rsidR="00CE0FCC">
        <w:t xml:space="preserve"> years.</w:t>
      </w:r>
    </w:p>
    <w:p w:rsidR="00CE0FCC" w:rsidRDefault="00783CE4" w:rsidP="00CE0FCC">
      <w:pPr>
        <w:spacing w:before="120" w:after="120"/>
      </w:pPr>
      <w:r>
        <w:t>As set out above, t</w:t>
      </w:r>
      <w:r w:rsidR="00CE0FCC">
        <w:t xml:space="preserve">he date that first permits development is the date of grant of permission for a full permission, and the date of the approval of the last reserved matters for </w:t>
      </w:r>
      <w:proofErr w:type="gramStart"/>
      <w:r w:rsidR="00CE0FCC">
        <w:t>an outline</w:t>
      </w:r>
      <w:proofErr w:type="gramEnd"/>
      <w:r w:rsidR="00CE0FCC">
        <w:t xml:space="preserve"> permission.</w:t>
      </w:r>
    </w:p>
    <w:p w:rsidR="00586AC2" w:rsidRPr="000A3CE7" w:rsidRDefault="00586AC2" w:rsidP="00586AC2">
      <w:pPr>
        <w:spacing w:before="120" w:after="120"/>
        <w:rPr>
          <w:b/>
          <w:color w:val="9BBB59" w:themeColor="accent3"/>
          <w:sz w:val="32"/>
          <w:szCs w:val="32"/>
        </w:rPr>
      </w:pPr>
      <w:r>
        <w:rPr>
          <w:b/>
          <w:color w:val="9BBB59" w:themeColor="accent3"/>
          <w:sz w:val="32"/>
          <w:szCs w:val="32"/>
        </w:rPr>
        <w:t xml:space="preserve">Q. </w:t>
      </w:r>
      <w:r w:rsidRPr="000A3CE7">
        <w:rPr>
          <w:b/>
          <w:color w:val="9BBB59" w:themeColor="accent3"/>
          <w:sz w:val="32"/>
          <w:szCs w:val="32"/>
        </w:rPr>
        <w:t>What if only a small part of a building to be demolished has been in use over the last 6 months?</w:t>
      </w:r>
    </w:p>
    <w:p w:rsidR="00586AC2" w:rsidRDefault="00586AC2" w:rsidP="00586AC2">
      <w:pPr>
        <w:spacing w:before="120" w:after="120"/>
      </w:pPr>
      <w:r>
        <w:t xml:space="preserve">Regulation 40 (11) of the CIL Regulations 2010 (as amended) states that a building is in use if a part of the building is in use for a continuous period of at least six months within the period of three years ending on the day planning permission first permits the development. Therefore, all the </w:t>
      </w:r>
      <w:proofErr w:type="spellStart"/>
      <w:r>
        <w:t>floorspace</w:t>
      </w:r>
      <w:proofErr w:type="spellEnd"/>
      <w:r>
        <w:t xml:space="preserve"> in the building would be deductible from the </w:t>
      </w:r>
      <w:proofErr w:type="spellStart"/>
      <w:r>
        <w:t>floorspace</w:t>
      </w:r>
      <w:proofErr w:type="spellEnd"/>
      <w:r>
        <w:t xml:space="preserve"> of the new buildings. The legal definition of building and planning unit will be important.</w:t>
      </w:r>
    </w:p>
    <w:p w:rsidR="00CE0FCC" w:rsidRPr="00CE0FCC" w:rsidRDefault="00CE0FCC" w:rsidP="00CE0FCC">
      <w:pPr>
        <w:spacing w:after="0"/>
        <w:rPr>
          <w:b/>
          <w:color w:val="9BBB59" w:themeColor="accent3"/>
          <w:sz w:val="32"/>
          <w:szCs w:val="32"/>
        </w:rPr>
      </w:pPr>
      <w:r>
        <w:rPr>
          <w:b/>
          <w:color w:val="9BBB59" w:themeColor="accent3"/>
          <w:sz w:val="32"/>
          <w:szCs w:val="32"/>
        </w:rPr>
        <w:t xml:space="preserve">Q. </w:t>
      </w:r>
      <w:r w:rsidRPr="00CE0FCC">
        <w:rPr>
          <w:b/>
          <w:color w:val="9BBB59" w:themeColor="accent3"/>
          <w:sz w:val="32"/>
          <w:szCs w:val="32"/>
        </w:rPr>
        <w:t xml:space="preserve">How is </w:t>
      </w:r>
      <w:r w:rsidR="00783CE4">
        <w:rPr>
          <w:b/>
          <w:color w:val="9BBB59" w:themeColor="accent3"/>
          <w:sz w:val="32"/>
          <w:szCs w:val="32"/>
        </w:rPr>
        <w:t xml:space="preserve">the amount of </w:t>
      </w:r>
      <w:r w:rsidRPr="00CE0FCC">
        <w:rPr>
          <w:b/>
          <w:color w:val="9BBB59" w:themeColor="accent3"/>
          <w:sz w:val="32"/>
          <w:szCs w:val="32"/>
        </w:rPr>
        <w:t>chargeable development measured?</w:t>
      </w:r>
    </w:p>
    <w:p w:rsidR="00202FBE" w:rsidRDefault="00202FBE" w:rsidP="00202FBE">
      <w:pPr>
        <w:spacing w:before="120" w:after="120"/>
      </w:pPr>
      <w:r>
        <w:t xml:space="preserve">The amount of levy payable by a development is </w:t>
      </w:r>
      <w:r w:rsidR="00CE0FCC">
        <w:t>measured using m</w:t>
      </w:r>
      <w:r>
        <w:t xml:space="preserve">² in Gross Internal Area (GIA). Gross internal </w:t>
      </w:r>
      <w:proofErr w:type="spellStart"/>
      <w:r>
        <w:t>floorspace</w:t>
      </w:r>
      <w:proofErr w:type="spellEnd"/>
      <w:r>
        <w:t xml:space="preserve"> is the internal area of the building, and should include rooms, circulation, and service space such as lifts and </w:t>
      </w:r>
      <w:proofErr w:type="spellStart"/>
      <w:r>
        <w:t>floorspace</w:t>
      </w:r>
      <w:proofErr w:type="spellEnd"/>
      <w:r>
        <w:t xml:space="preserve"> devoted to corridors, toilets, storage, ancillary </w:t>
      </w:r>
      <w:proofErr w:type="spellStart"/>
      <w:r>
        <w:t>floorspace</w:t>
      </w:r>
      <w:proofErr w:type="spellEnd"/>
      <w:r>
        <w:t xml:space="preserve"> (e.g. underground car parking) etc. Further guidance on measuring gross internal </w:t>
      </w:r>
      <w:proofErr w:type="spellStart"/>
      <w:r>
        <w:t>floorspace</w:t>
      </w:r>
      <w:proofErr w:type="spellEnd"/>
      <w:r>
        <w:t xml:space="preserve"> is available from RICS in “RICS Property Measurement” (</w:t>
      </w:r>
      <w:hyperlink r:id="rId9" w:history="1">
        <w:r w:rsidRPr="00C61559">
          <w:rPr>
            <w:rStyle w:val="Hyperlink"/>
          </w:rPr>
          <w:t>http://www.rics.org/uk/knowledge/professional-guidance/professional-statements/rics-property-measurement-1st-edition/</w:t>
        </w:r>
      </w:hyperlink>
      <w:r>
        <w:t>)</w:t>
      </w:r>
    </w:p>
    <w:p w:rsidR="00744164" w:rsidRDefault="00744164">
      <w:pPr>
        <w:rPr>
          <w:b/>
          <w:color w:val="9BBB59" w:themeColor="accent3"/>
          <w:sz w:val="32"/>
          <w:szCs w:val="32"/>
        </w:rPr>
      </w:pPr>
      <w:r>
        <w:rPr>
          <w:b/>
          <w:color w:val="9BBB59" w:themeColor="accent3"/>
          <w:sz w:val="32"/>
          <w:szCs w:val="32"/>
        </w:rPr>
        <w:br w:type="page"/>
      </w:r>
    </w:p>
    <w:p w:rsidR="00CE0FCC" w:rsidRDefault="00CE0FCC" w:rsidP="00CE0FCC">
      <w:pPr>
        <w:spacing w:before="120" w:after="120"/>
      </w:pPr>
      <w:r>
        <w:rPr>
          <w:b/>
          <w:color w:val="9BBB59" w:themeColor="accent3"/>
          <w:sz w:val="32"/>
          <w:szCs w:val="32"/>
        </w:rPr>
        <w:lastRenderedPageBreak/>
        <w:t>Q</w:t>
      </w:r>
      <w:r w:rsidRPr="00CE0FCC">
        <w:rPr>
          <w:b/>
          <w:color w:val="9BBB59" w:themeColor="accent3"/>
          <w:sz w:val="32"/>
          <w:szCs w:val="32"/>
        </w:rPr>
        <w:t>. Are residential garages included in the CIL calculation?</w:t>
      </w:r>
    </w:p>
    <w:p w:rsidR="00CE0FCC" w:rsidRDefault="00CE0FCC" w:rsidP="00CE0FCC">
      <w:pPr>
        <w:spacing w:before="120" w:after="120"/>
      </w:pPr>
      <w:r>
        <w:t>Yes, because this falls within the RICS Code of Measuring definition of GIA.</w:t>
      </w:r>
    </w:p>
    <w:p w:rsidR="00783CE4" w:rsidRPr="000A3CE7" w:rsidRDefault="00783CE4" w:rsidP="00783CE4">
      <w:pPr>
        <w:spacing w:before="120" w:after="120"/>
        <w:rPr>
          <w:b/>
          <w:color w:val="9BBB59" w:themeColor="accent3"/>
          <w:sz w:val="32"/>
          <w:szCs w:val="32"/>
        </w:rPr>
      </w:pPr>
      <w:r>
        <w:rPr>
          <w:b/>
          <w:color w:val="9BBB59" w:themeColor="accent3"/>
          <w:sz w:val="32"/>
          <w:szCs w:val="32"/>
        </w:rPr>
        <w:t>Q. If outline permission has been</w:t>
      </w:r>
      <w:r w:rsidRPr="000A3CE7">
        <w:rPr>
          <w:b/>
          <w:color w:val="9BBB59" w:themeColor="accent3"/>
          <w:sz w:val="32"/>
          <w:szCs w:val="32"/>
        </w:rPr>
        <w:t xml:space="preserve"> granted before </w:t>
      </w:r>
      <w:r>
        <w:rPr>
          <w:b/>
          <w:color w:val="9BBB59" w:themeColor="accent3"/>
          <w:sz w:val="32"/>
          <w:szCs w:val="32"/>
        </w:rPr>
        <w:t>the</w:t>
      </w:r>
      <w:r w:rsidRPr="000A3CE7">
        <w:rPr>
          <w:b/>
          <w:color w:val="9BBB59" w:themeColor="accent3"/>
          <w:sz w:val="32"/>
          <w:szCs w:val="32"/>
        </w:rPr>
        <w:t xml:space="preserve"> charging schedule </w:t>
      </w:r>
      <w:r>
        <w:rPr>
          <w:b/>
          <w:color w:val="9BBB59" w:themeColor="accent3"/>
          <w:sz w:val="32"/>
          <w:szCs w:val="32"/>
        </w:rPr>
        <w:t xml:space="preserve">was approved, </w:t>
      </w:r>
      <w:r w:rsidRPr="000A3CE7">
        <w:rPr>
          <w:b/>
          <w:color w:val="9BBB59" w:themeColor="accent3"/>
          <w:sz w:val="32"/>
          <w:szCs w:val="32"/>
        </w:rPr>
        <w:t xml:space="preserve">but the details </w:t>
      </w:r>
      <w:r w:rsidR="00691B66">
        <w:rPr>
          <w:b/>
          <w:color w:val="9BBB59" w:themeColor="accent3"/>
          <w:sz w:val="32"/>
          <w:szCs w:val="32"/>
        </w:rPr>
        <w:t xml:space="preserve">are submitted </w:t>
      </w:r>
      <w:r w:rsidRPr="000A3CE7">
        <w:rPr>
          <w:b/>
          <w:color w:val="9BBB59" w:themeColor="accent3"/>
          <w:sz w:val="32"/>
          <w:szCs w:val="32"/>
        </w:rPr>
        <w:t xml:space="preserve">after the </w:t>
      </w:r>
      <w:r w:rsidR="00691B66">
        <w:rPr>
          <w:b/>
          <w:color w:val="9BBB59" w:themeColor="accent3"/>
          <w:sz w:val="32"/>
          <w:szCs w:val="32"/>
        </w:rPr>
        <w:t>implementation date</w:t>
      </w:r>
      <w:r w:rsidRPr="000A3CE7">
        <w:rPr>
          <w:b/>
          <w:color w:val="9BBB59" w:themeColor="accent3"/>
          <w:sz w:val="32"/>
          <w:szCs w:val="32"/>
        </w:rPr>
        <w:t xml:space="preserve">, can </w:t>
      </w:r>
      <w:r>
        <w:rPr>
          <w:b/>
          <w:color w:val="9BBB59" w:themeColor="accent3"/>
          <w:sz w:val="32"/>
          <w:szCs w:val="32"/>
        </w:rPr>
        <w:t xml:space="preserve">the levy be charged </w:t>
      </w:r>
      <w:r w:rsidRPr="000A3CE7">
        <w:rPr>
          <w:b/>
          <w:color w:val="9BBB59" w:themeColor="accent3"/>
          <w:sz w:val="32"/>
          <w:szCs w:val="32"/>
        </w:rPr>
        <w:t xml:space="preserve">following </w:t>
      </w:r>
      <w:r>
        <w:rPr>
          <w:b/>
          <w:color w:val="9BBB59" w:themeColor="accent3"/>
          <w:sz w:val="32"/>
          <w:szCs w:val="32"/>
        </w:rPr>
        <w:t xml:space="preserve">the </w:t>
      </w:r>
      <w:r w:rsidRPr="000A3CE7">
        <w:rPr>
          <w:b/>
          <w:color w:val="9BBB59" w:themeColor="accent3"/>
          <w:sz w:val="32"/>
          <w:szCs w:val="32"/>
        </w:rPr>
        <w:t>grant</w:t>
      </w:r>
      <w:r>
        <w:rPr>
          <w:b/>
          <w:color w:val="9BBB59" w:themeColor="accent3"/>
          <w:sz w:val="32"/>
          <w:szCs w:val="32"/>
        </w:rPr>
        <w:t xml:space="preserve"> of </w:t>
      </w:r>
      <w:r w:rsidRPr="000A3CE7">
        <w:rPr>
          <w:b/>
          <w:color w:val="9BBB59" w:themeColor="accent3"/>
          <w:sz w:val="32"/>
          <w:szCs w:val="32"/>
        </w:rPr>
        <w:t>consent on the details?</w:t>
      </w:r>
    </w:p>
    <w:p w:rsidR="00691B66" w:rsidRDefault="00783CE4" w:rsidP="00783CE4">
      <w:pPr>
        <w:spacing w:before="120" w:after="120"/>
      </w:pPr>
      <w:r>
        <w:t xml:space="preserve">No, the levy cannot be collected on ‘reserved matters’ planning permissions if they have been granted outline planning permission prior to </w:t>
      </w:r>
      <w:r w:rsidR="00691B66">
        <w:t>levy</w:t>
      </w:r>
      <w:r>
        <w:t xml:space="preserve"> coming into force locally.</w:t>
      </w:r>
      <w:r w:rsidR="00691B66">
        <w:t xml:space="preserve"> </w:t>
      </w:r>
    </w:p>
    <w:p w:rsidR="00783CE4" w:rsidRDefault="00691B66" w:rsidP="00783CE4">
      <w:pPr>
        <w:spacing w:before="120" w:after="120"/>
      </w:pPr>
      <w:r>
        <w:t>Therefore, outline planning permissions that have been granted prior to 03 April 2017 will not be liable for the levy.</w:t>
      </w:r>
    </w:p>
    <w:p w:rsidR="00586AC2" w:rsidRDefault="00586AC2" w:rsidP="00586AC2">
      <w:pPr>
        <w:spacing w:before="120" w:after="120"/>
      </w:pPr>
      <w:r w:rsidRPr="00CE0FCC">
        <w:t>Reserved ma</w:t>
      </w:r>
      <w:r>
        <w:t>tters approvals granted after 03</w:t>
      </w:r>
      <w:r w:rsidRPr="00CE0FCC">
        <w:t xml:space="preserve"> April 201</w:t>
      </w:r>
      <w:r>
        <w:t xml:space="preserve">7 will not trigger any </w:t>
      </w:r>
      <w:r w:rsidRPr="00CE0FCC">
        <w:t xml:space="preserve">liability under </w:t>
      </w:r>
      <w:r>
        <w:t xml:space="preserve">CIL </w:t>
      </w:r>
      <w:r w:rsidRPr="00CE0FCC">
        <w:t>Reg</w:t>
      </w:r>
      <w:r>
        <w:t xml:space="preserve">ulation </w:t>
      </w:r>
      <w:r w:rsidRPr="00CE0FCC">
        <w:t xml:space="preserve">42. </w:t>
      </w:r>
    </w:p>
    <w:p w:rsidR="00586AC2" w:rsidRDefault="00586AC2" w:rsidP="00586AC2">
      <w:pPr>
        <w:spacing w:before="120" w:after="120"/>
        <w:rPr>
          <w:b/>
          <w:color w:val="9BBB59" w:themeColor="accent3"/>
          <w:sz w:val="32"/>
          <w:szCs w:val="32"/>
        </w:rPr>
      </w:pPr>
      <w:r>
        <w:rPr>
          <w:b/>
          <w:color w:val="9BBB59" w:themeColor="accent3"/>
          <w:sz w:val="32"/>
          <w:szCs w:val="32"/>
        </w:rPr>
        <w:t>Q. What if I amend my outline permission gained before the levy was in place, after the levy comes in to force?</w:t>
      </w:r>
    </w:p>
    <w:p w:rsidR="00586AC2" w:rsidRDefault="00586AC2" w:rsidP="00783CE4">
      <w:pPr>
        <w:spacing w:before="120" w:after="120"/>
      </w:pPr>
      <w:r>
        <w:t xml:space="preserve">If a Section 73 application to vary the original permission takes effect after the charging </w:t>
      </w:r>
      <w:r w:rsidRPr="00586AC2">
        <w:t>schedule is implemented then there will only be a levy charged if there is an increase in</w:t>
      </w:r>
      <w:r>
        <w:t xml:space="preserve"> chargeable </w:t>
      </w:r>
      <w:proofErr w:type="spellStart"/>
      <w:r>
        <w:t>floorspace</w:t>
      </w:r>
      <w:proofErr w:type="spellEnd"/>
      <w:r>
        <w:t xml:space="preserve"> by virtue of the Section 73 application. So, the original </w:t>
      </w:r>
      <w:proofErr w:type="spellStart"/>
      <w:r>
        <w:t>floorspace</w:t>
      </w:r>
      <w:proofErr w:type="spellEnd"/>
      <w:r>
        <w:t>, with outline consent, will fall outside of the scope of the levy.</w:t>
      </w:r>
    </w:p>
    <w:p w:rsidR="00586AC2" w:rsidRDefault="000A3CE7" w:rsidP="000A3CE7">
      <w:pPr>
        <w:spacing w:before="120" w:after="120"/>
        <w:rPr>
          <w:b/>
          <w:color w:val="9BBB59" w:themeColor="accent3"/>
          <w:sz w:val="32"/>
          <w:szCs w:val="32"/>
        </w:rPr>
      </w:pPr>
      <w:r w:rsidRPr="000A3CE7">
        <w:rPr>
          <w:b/>
          <w:color w:val="9BBB59" w:themeColor="accent3"/>
          <w:sz w:val="32"/>
          <w:szCs w:val="32"/>
        </w:rPr>
        <w:t xml:space="preserve">Q: If a large scheme has outline planning permission, is the whole development due to pay </w:t>
      </w:r>
      <w:r w:rsidR="00586AC2">
        <w:rPr>
          <w:b/>
          <w:color w:val="9BBB59" w:themeColor="accent3"/>
          <w:sz w:val="32"/>
          <w:szCs w:val="32"/>
        </w:rPr>
        <w:t>the levy</w:t>
      </w:r>
      <w:r w:rsidRPr="000A3CE7">
        <w:rPr>
          <w:b/>
          <w:color w:val="9BBB59" w:themeColor="accent3"/>
          <w:sz w:val="32"/>
          <w:szCs w:val="32"/>
        </w:rPr>
        <w:t xml:space="preserve"> at the time the first phase/reserve m</w:t>
      </w:r>
      <w:r w:rsidR="00586AC2">
        <w:rPr>
          <w:b/>
          <w:color w:val="9BBB59" w:themeColor="accent3"/>
          <w:sz w:val="32"/>
          <w:szCs w:val="32"/>
        </w:rPr>
        <w:t>atter of the outline commences?</w:t>
      </w:r>
    </w:p>
    <w:p w:rsidR="00586AC2" w:rsidRDefault="000A3CE7" w:rsidP="000A3CE7">
      <w:pPr>
        <w:spacing w:before="120" w:after="120"/>
      </w:pPr>
      <w:r>
        <w:t>If a larg</w:t>
      </w:r>
      <w:r w:rsidR="00586AC2">
        <w:t xml:space="preserve">e scheme has outline permission, then </w:t>
      </w:r>
      <w:r>
        <w:t>each phase is a separate chargeable development (</w:t>
      </w:r>
      <w:r w:rsidR="00586AC2">
        <w:t>As set out in CIL R</w:t>
      </w:r>
      <w:r>
        <w:t>eg</w:t>
      </w:r>
      <w:r w:rsidR="00586AC2">
        <w:t>ulation</w:t>
      </w:r>
      <w:r>
        <w:t xml:space="preserve"> 9(4))</w:t>
      </w:r>
      <w:r w:rsidR="00586AC2">
        <w:t>. E</w:t>
      </w:r>
      <w:r>
        <w:t>ach phase is regarded as having a permission which 'first permits' when the last reserved matter is approved for that phase (</w:t>
      </w:r>
      <w:r w:rsidR="00586AC2">
        <w:t xml:space="preserve">see CIL Regulation </w:t>
      </w:r>
      <w:r>
        <w:t xml:space="preserve">8(5)). </w:t>
      </w:r>
    </w:p>
    <w:p w:rsidR="00586AC2" w:rsidRDefault="00586AC2">
      <w:r>
        <w:br w:type="page"/>
      </w:r>
    </w:p>
    <w:p w:rsidR="00202FBE" w:rsidRPr="00202FBE" w:rsidRDefault="00202FBE" w:rsidP="00202FBE">
      <w:pPr>
        <w:spacing w:before="120" w:after="120"/>
        <w:rPr>
          <w:b/>
          <w:color w:val="9BBB59" w:themeColor="accent3"/>
          <w:sz w:val="32"/>
          <w:szCs w:val="32"/>
        </w:rPr>
      </w:pPr>
      <w:r>
        <w:rPr>
          <w:b/>
          <w:color w:val="9BBB59" w:themeColor="accent3"/>
          <w:sz w:val="32"/>
          <w:szCs w:val="32"/>
        </w:rPr>
        <w:lastRenderedPageBreak/>
        <w:t xml:space="preserve">Q. </w:t>
      </w:r>
      <w:r w:rsidRPr="00202FBE">
        <w:rPr>
          <w:b/>
          <w:color w:val="9BBB59" w:themeColor="accent3"/>
          <w:sz w:val="32"/>
          <w:szCs w:val="32"/>
        </w:rPr>
        <w:t xml:space="preserve">What types of development are exempt from </w:t>
      </w:r>
      <w:r w:rsidR="00586AC2">
        <w:rPr>
          <w:b/>
          <w:color w:val="9BBB59" w:themeColor="accent3"/>
          <w:sz w:val="32"/>
          <w:szCs w:val="32"/>
        </w:rPr>
        <w:t>the levy</w:t>
      </w:r>
      <w:r w:rsidRPr="00202FBE">
        <w:rPr>
          <w:b/>
          <w:color w:val="9BBB59" w:themeColor="accent3"/>
          <w:sz w:val="32"/>
          <w:szCs w:val="32"/>
        </w:rPr>
        <w:t>?</w:t>
      </w:r>
    </w:p>
    <w:p w:rsidR="00202FBE" w:rsidRDefault="00202FBE" w:rsidP="00202FBE">
      <w:pPr>
        <w:spacing w:before="120" w:after="120"/>
      </w:pPr>
      <w:r>
        <w:t>The following types of development are exempt from CIL:</w:t>
      </w:r>
    </w:p>
    <w:p w:rsidR="00202FBE" w:rsidRDefault="00202FBE" w:rsidP="00202FBE">
      <w:pPr>
        <w:pStyle w:val="ListParagraph"/>
        <w:numPr>
          <w:ilvl w:val="0"/>
          <w:numId w:val="37"/>
        </w:numPr>
        <w:spacing w:before="120" w:after="120"/>
      </w:pPr>
      <w:r>
        <w:t xml:space="preserve">Where there is no extension of </w:t>
      </w:r>
      <w:proofErr w:type="spellStart"/>
      <w:r>
        <w:t>floorspace</w:t>
      </w:r>
      <w:proofErr w:type="spellEnd"/>
      <w:r>
        <w:t xml:space="preserve"> as a result of the development.</w:t>
      </w:r>
    </w:p>
    <w:p w:rsidR="00202FBE" w:rsidRDefault="00202FBE" w:rsidP="00202FBE">
      <w:pPr>
        <w:pStyle w:val="ListParagraph"/>
        <w:numPr>
          <w:ilvl w:val="0"/>
          <w:numId w:val="37"/>
        </w:numPr>
        <w:spacing w:before="120" w:after="120"/>
      </w:pPr>
      <w:r>
        <w:t>Any development where the gross internal area of the new build is less than 100 square metres. This might, for example, include a small extension to a house. It should be noted that this exemption does not apply to the creation of one or more dwellings.</w:t>
      </w:r>
    </w:p>
    <w:p w:rsidR="00202FBE" w:rsidRDefault="00202FBE" w:rsidP="00202FBE">
      <w:pPr>
        <w:pStyle w:val="ListParagraph"/>
        <w:numPr>
          <w:ilvl w:val="0"/>
          <w:numId w:val="37"/>
        </w:numPr>
        <w:spacing w:before="120" w:after="120"/>
      </w:pPr>
      <w:r>
        <w:t xml:space="preserve">Development resulting from a change of use, where the building has been in continuous use for at least six months in the three years prior to the development being </w:t>
      </w:r>
      <w:r w:rsidR="00586AC2">
        <w:t>permitted</w:t>
      </w:r>
      <w:r>
        <w:t xml:space="preserve"> and no new </w:t>
      </w:r>
      <w:proofErr w:type="spellStart"/>
      <w:r>
        <w:t>floorspace</w:t>
      </w:r>
      <w:proofErr w:type="spellEnd"/>
      <w:r>
        <w:t xml:space="preserve"> is created.</w:t>
      </w:r>
    </w:p>
    <w:p w:rsidR="00202FBE" w:rsidRDefault="00202FBE" w:rsidP="00202FBE">
      <w:pPr>
        <w:pStyle w:val="ListParagraph"/>
        <w:numPr>
          <w:ilvl w:val="0"/>
          <w:numId w:val="37"/>
        </w:numPr>
        <w:spacing w:before="120" w:after="120"/>
      </w:pPr>
      <w:r>
        <w:t xml:space="preserve">Any development which is zero rated on the approved charging schedule for </w:t>
      </w:r>
      <w:r w:rsidR="00586AC2">
        <w:t>South Somerset.</w:t>
      </w:r>
    </w:p>
    <w:p w:rsidR="00202FBE" w:rsidRDefault="00202FBE" w:rsidP="00202FBE">
      <w:pPr>
        <w:pStyle w:val="ListParagraph"/>
        <w:numPr>
          <w:ilvl w:val="0"/>
          <w:numId w:val="37"/>
        </w:numPr>
        <w:spacing w:before="120" w:after="120"/>
      </w:pPr>
      <w:r>
        <w:t>Any development where the total chargeable amount is less than £50 (this is deemed as zero rated).</w:t>
      </w:r>
    </w:p>
    <w:p w:rsidR="00202FBE" w:rsidRDefault="00202FBE" w:rsidP="00202FBE">
      <w:pPr>
        <w:pStyle w:val="ListParagraph"/>
        <w:numPr>
          <w:ilvl w:val="0"/>
          <w:numId w:val="37"/>
        </w:numPr>
        <w:spacing w:before="120" w:after="120"/>
      </w:pPr>
      <w:r>
        <w:t>Reserved matters planning permissions where outline planning p</w:t>
      </w:r>
      <w:r w:rsidR="00586AC2">
        <w:t>ermission was granted prior to 03</w:t>
      </w:r>
      <w:r>
        <w:t xml:space="preserve"> </w:t>
      </w:r>
      <w:r w:rsidR="00586AC2">
        <w:t>April 2017</w:t>
      </w:r>
      <w:r>
        <w:t>.</w:t>
      </w:r>
    </w:p>
    <w:p w:rsidR="00202FBE" w:rsidRDefault="00202FBE" w:rsidP="00202FBE">
      <w:pPr>
        <w:pStyle w:val="ListParagraph"/>
        <w:numPr>
          <w:ilvl w:val="0"/>
          <w:numId w:val="37"/>
        </w:numPr>
        <w:spacing w:before="120" w:after="120"/>
      </w:pPr>
      <w:r>
        <w:t>Retail mezzanines.</w:t>
      </w:r>
    </w:p>
    <w:p w:rsidR="00202FBE" w:rsidRDefault="00202FBE" w:rsidP="00202FBE">
      <w:pPr>
        <w:pStyle w:val="ListParagraph"/>
        <w:numPr>
          <w:ilvl w:val="0"/>
          <w:numId w:val="37"/>
        </w:numPr>
        <w:spacing w:before="120" w:after="120"/>
      </w:pPr>
      <w:r>
        <w:t>Structures or buildings that people only enter for the purpose of inspecting or maintaining fixed plant or machinery.</w:t>
      </w:r>
    </w:p>
    <w:p w:rsidR="00C82AC3" w:rsidRPr="003209AF" w:rsidRDefault="00C82AC3" w:rsidP="00C82AC3">
      <w:pPr>
        <w:rPr>
          <w:b/>
          <w:color w:val="9BBB59" w:themeColor="accent3"/>
          <w:sz w:val="32"/>
          <w:szCs w:val="32"/>
        </w:rPr>
      </w:pPr>
      <w:r w:rsidRPr="003209AF">
        <w:rPr>
          <w:b/>
          <w:color w:val="9BBB59" w:themeColor="accent3"/>
          <w:sz w:val="32"/>
          <w:szCs w:val="32"/>
        </w:rPr>
        <w:t>Q. What happens if the levy charges are not paid?</w:t>
      </w:r>
    </w:p>
    <w:p w:rsidR="00C82AC3" w:rsidRPr="003209AF" w:rsidRDefault="00C82AC3" w:rsidP="00C82AC3">
      <w:pPr>
        <w:spacing w:before="120" w:after="120"/>
      </w:pPr>
      <w:r w:rsidRPr="003209AF">
        <w:t xml:space="preserve">The </w:t>
      </w:r>
      <w:r w:rsidR="00034F0E" w:rsidRPr="003209AF">
        <w:t>LPA</w:t>
      </w:r>
      <w:r w:rsidRPr="003209AF">
        <w:t xml:space="preserve"> has a large number of enforcement powers under Chapter 3 of Part 9 of the 2010 Regulations. They include:</w:t>
      </w:r>
    </w:p>
    <w:p w:rsidR="00C82AC3" w:rsidRPr="003209AF" w:rsidRDefault="003C34D4" w:rsidP="00C82AC3">
      <w:pPr>
        <w:pStyle w:val="ListParagraph"/>
        <w:numPr>
          <w:ilvl w:val="0"/>
          <w:numId w:val="40"/>
        </w:numPr>
        <w:spacing w:before="120" w:after="120"/>
      </w:pPr>
      <w:r w:rsidRPr="003209AF">
        <w:t>S</w:t>
      </w:r>
      <w:r w:rsidR="00C82AC3" w:rsidRPr="003209AF">
        <w:t>urcharges of varying amounts depending on the nature of the failure to comply with the legislation.</w:t>
      </w:r>
    </w:p>
    <w:p w:rsidR="00C82AC3" w:rsidRPr="003209AF" w:rsidRDefault="003C34D4" w:rsidP="00C82AC3">
      <w:pPr>
        <w:pStyle w:val="ListParagraph"/>
        <w:numPr>
          <w:ilvl w:val="0"/>
          <w:numId w:val="40"/>
        </w:numPr>
        <w:spacing w:before="120" w:after="120"/>
      </w:pPr>
      <w:r w:rsidRPr="003209AF">
        <w:t>L</w:t>
      </w:r>
      <w:r w:rsidR="00C82AC3" w:rsidRPr="003209AF">
        <w:t>ate payment interest at an annual rate of 2.5% above the Bank of England base rate.</w:t>
      </w:r>
    </w:p>
    <w:p w:rsidR="00C82AC3" w:rsidRPr="003209AF" w:rsidRDefault="003C34D4" w:rsidP="00C82AC3">
      <w:pPr>
        <w:pStyle w:val="ListParagraph"/>
        <w:numPr>
          <w:ilvl w:val="0"/>
          <w:numId w:val="40"/>
        </w:numPr>
        <w:spacing w:before="120" w:after="120"/>
      </w:pPr>
      <w:r w:rsidRPr="003209AF">
        <w:t xml:space="preserve">Levy </w:t>
      </w:r>
      <w:r w:rsidR="00C82AC3" w:rsidRPr="003209AF">
        <w:t>stop notices- a procedure ultimately to stop any activity connected with the chargeable development. A person convicted of contravening a CIL stop notice is liable on summary conviction to a fine not exceeding £20,000, or on conviction on indictment to a potentially unlimited fine- in determining the amount of the fine, the court must have regard in particular to any financial benefit which has accrued or has appeared to accrue to the person convicted in consequence of the offence. An injunction to restrain an apprehended breach of a CIL stop notice can also be applied for. A local search will reveal a CIL stop notice.</w:t>
      </w:r>
    </w:p>
    <w:p w:rsidR="00C82AC3" w:rsidRPr="003209AF" w:rsidRDefault="003C34D4" w:rsidP="00C82AC3">
      <w:pPr>
        <w:pStyle w:val="ListParagraph"/>
        <w:numPr>
          <w:ilvl w:val="0"/>
          <w:numId w:val="40"/>
        </w:numPr>
        <w:spacing w:before="120" w:after="120"/>
      </w:pPr>
      <w:r w:rsidRPr="003209AF">
        <w:t>S</w:t>
      </w:r>
      <w:r w:rsidR="00C82AC3" w:rsidRPr="003209AF">
        <w:t>ervice of a "reminder notice" followed by an application to a magistrates' court for a "liability order" in respect of the outstanding amount plus costs. If the liability order is made, the remedy of distress is available.</w:t>
      </w:r>
    </w:p>
    <w:p w:rsidR="00C82AC3" w:rsidRPr="003209AF" w:rsidRDefault="003C34D4" w:rsidP="00C82AC3">
      <w:pPr>
        <w:pStyle w:val="ListParagraph"/>
        <w:numPr>
          <w:ilvl w:val="0"/>
          <w:numId w:val="40"/>
        </w:numPr>
        <w:spacing w:before="120" w:after="120"/>
      </w:pPr>
      <w:r w:rsidRPr="003209AF">
        <w:t>C</w:t>
      </w:r>
      <w:r w:rsidR="00C82AC3" w:rsidRPr="003209AF">
        <w:t>harging orders where at least £2,000 is outstanding under liability orders.</w:t>
      </w:r>
    </w:p>
    <w:p w:rsidR="00C82AC3" w:rsidRPr="003209AF" w:rsidRDefault="003C34D4" w:rsidP="00C82AC3">
      <w:pPr>
        <w:pStyle w:val="ListParagraph"/>
        <w:numPr>
          <w:ilvl w:val="0"/>
          <w:numId w:val="40"/>
        </w:numPr>
        <w:spacing w:before="120" w:after="120"/>
      </w:pPr>
      <w:r w:rsidRPr="003209AF">
        <w:t>C</w:t>
      </w:r>
      <w:r w:rsidR="00C82AC3" w:rsidRPr="003209AF">
        <w:t>ommitment to prison, where the debtor is an individual, the amount could not be recovered through the distress or charging order routes and the court is of the opinion that the failure to pay the debt was due to the debtor's wilful refusal or culpable neglect;.</w:t>
      </w:r>
    </w:p>
    <w:p w:rsidR="00C82AC3" w:rsidRPr="003209AF" w:rsidRDefault="003C34D4" w:rsidP="00C82AC3">
      <w:pPr>
        <w:pStyle w:val="ListParagraph"/>
        <w:numPr>
          <w:ilvl w:val="0"/>
          <w:numId w:val="40"/>
        </w:numPr>
        <w:spacing w:before="120" w:after="120"/>
      </w:pPr>
      <w:r w:rsidRPr="003209AF">
        <w:t>E</w:t>
      </w:r>
      <w:r w:rsidR="00C82AC3" w:rsidRPr="003209AF">
        <w:t>nforcement of local land charges if outstanding CIL amount is £2,000 or more.</w:t>
      </w:r>
    </w:p>
    <w:p w:rsidR="00C82AC3" w:rsidRPr="003209AF" w:rsidRDefault="003C34D4" w:rsidP="00C82AC3">
      <w:pPr>
        <w:pStyle w:val="ListParagraph"/>
        <w:numPr>
          <w:ilvl w:val="0"/>
          <w:numId w:val="40"/>
        </w:numPr>
        <w:spacing w:before="120" w:after="120"/>
      </w:pPr>
      <w:r w:rsidRPr="003209AF">
        <w:t>P</w:t>
      </w:r>
      <w:r w:rsidR="00C82AC3" w:rsidRPr="003209AF">
        <w:t>owers to require information and of entry and there is an offence for supplying false information with a punishment of a possible fine and/or imprisonment.</w:t>
      </w:r>
    </w:p>
    <w:p w:rsidR="00C82AC3" w:rsidRPr="003209AF" w:rsidRDefault="00C82AC3">
      <w:r w:rsidRPr="003209AF">
        <w:br w:type="page"/>
      </w:r>
    </w:p>
    <w:p w:rsidR="00724558" w:rsidRPr="003209AF" w:rsidRDefault="00724558" w:rsidP="00724558">
      <w:pPr>
        <w:spacing w:before="120" w:after="120"/>
        <w:rPr>
          <w:b/>
          <w:color w:val="9BBB59" w:themeColor="accent3"/>
          <w:sz w:val="32"/>
          <w:szCs w:val="32"/>
        </w:rPr>
      </w:pPr>
      <w:r w:rsidRPr="003209AF">
        <w:rPr>
          <w:b/>
          <w:color w:val="9BBB59" w:themeColor="accent3"/>
          <w:sz w:val="32"/>
          <w:szCs w:val="32"/>
        </w:rPr>
        <w:lastRenderedPageBreak/>
        <w:t>Q. Surcharges and Late Interest</w:t>
      </w:r>
    </w:p>
    <w:p w:rsidR="00724558" w:rsidRPr="003209AF" w:rsidRDefault="00724558" w:rsidP="00724558">
      <w:pPr>
        <w:spacing w:before="120" w:after="120"/>
      </w:pPr>
      <w:r w:rsidRPr="003209AF">
        <w:t>Surcharges and interest may be imposed as follows:</w:t>
      </w:r>
    </w:p>
    <w:p w:rsidR="00724558" w:rsidRPr="003209AF" w:rsidRDefault="00724558" w:rsidP="00724558">
      <w:pPr>
        <w:pStyle w:val="ListParagraph"/>
        <w:numPr>
          <w:ilvl w:val="0"/>
          <w:numId w:val="36"/>
        </w:numPr>
        <w:spacing w:before="120" w:after="120"/>
      </w:pPr>
      <w:r w:rsidRPr="003209AF">
        <w:t>If the development has commenced and no Commencement Notice has been received - £50 on each liable person.</w:t>
      </w:r>
    </w:p>
    <w:p w:rsidR="00724558" w:rsidRPr="003209AF" w:rsidRDefault="00724558" w:rsidP="00724558">
      <w:pPr>
        <w:pStyle w:val="ListParagraph"/>
        <w:numPr>
          <w:ilvl w:val="0"/>
          <w:numId w:val="36"/>
        </w:numPr>
        <w:spacing w:before="120" w:after="120"/>
      </w:pPr>
      <w:r w:rsidRPr="003209AF">
        <w:t>Where the Council has to apportion liability between different owners - £500 on each owner.</w:t>
      </w:r>
    </w:p>
    <w:p w:rsidR="00724558" w:rsidRPr="003209AF" w:rsidRDefault="00724558" w:rsidP="00724558">
      <w:pPr>
        <w:pStyle w:val="ListParagraph"/>
        <w:numPr>
          <w:ilvl w:val="0"/>
          <w:numId w:val="36"/>
        </w:numPr>
        <w:spacing w:before="120" w:after="120"/>
      </w:pPr>
      <w:r w:rsidRPr="003209AF">
        <w:t>For failure to submit a Notice of Chargeable Development – 20% of the chargeable amount up to a maximum of £2,500.</w:t>
      </w:r>
    </w:p>
    <w:p w:rsidR="00724558" w:rsidRPr="003209AF" w:rsidRDefault="00724558" w:rsidP="00724558">
      <w:pPr>
        <w:pStyle w:val="ListParagraph"/>
        <w:numPr>
          <w:ilvl w:val="0"/>
          <w:numId w:val="36"/>
        </w:numPr>
        <w:spacing w:before="120" w:after="120"/>
      </w:pPr>
      <w:r w:rsidRPr="003209AF">
        <w:t>For failure to submit a Commencement Notice – 20% of the chargeable amount up to a maximum of £2,500.</w:t>
      </w:r>
    </w:p>
    <w:p w:rsidR="00724558" w:rsidRPr="003209AF" w:rsidRDefault="00724558" w:rsidP="00724558">
      <w:pPr>
        <w:pStyle w:val="ListParagraph"/>
        <w:numPr>
          <w:ilvl w:val="0"/>
          <w:numId w:val="36"/>
        </w:numPr>
        <w:spacing w:before="120" w:after="120"/>
      </w:pPr>
      <w:r w:rsidRPr="003209AF">
        <w:t>For failure to notify the Council of a disqualifying event within 14 days – 20% of the chargeable amount up to a maximum of £2,500.</w:t>
      </w:r>
    </w:p>
    <w:p w:rsidR="00724558" w:rsidRPr="003209AF" w:rsidRDefault="00724558" w:rsidP="00724558">
      <w:pPr>
        <w:pStyle w:val="ListParagraph"/>
        <w:numPr>
          <w:ilvl w:val="0"/>
          <w:numId w:val="36"/>
        </w:numPr>
        <w:spacing w:before="120" w:after="120"/>
      </w:pPr>
      <w:r w:rsidRPr="003209AF">
        <w:t>For late payment – 5% of the chargeable amount or £200 (whichever is greater) may be imposed after 30 days and again after 6 months and then after 12 months on any outstanding amount.</w:t>
      </w:r>
    </w:p>
    <w:p w:rsidR="00724558" w:rsidRPr="003209AF" w:rsidRDefault="00724558" w:rsidP="00724558">
      <w:pPr>
        <w:pStyle w:val="ListParagraph"/>
        <w:numPr>
          <w:ilvl w:val="0"/>
          <w:numId w:val="36"/>
        </w:numPr>
        <w:spacing w:before="120" w:after="120"/>
      </w:pPr>
      <w:r w:rsidRPr="003209AF">
        <w:t>Failure to comply with an information notice within 14 days – 20% of the chargeable amount up to a maximum of £1,000.</w:t>
      </w:r>
    </w:p>
    <w:p w:rsidR="00724558" w:rsidRPr="003209AF" w:rsidRDefault="00724558" w:rsidP="00724558">
      <w:pPr>
        <w:pStyle w:val="ListParagraph"/>
        <w:numPr>
          <w:ilvl w:val="0"/>
          <w:numId w:val="36"/>
        </w:numPr>
        <w:spacing w:before="120" w:after="120"/>
      </w:pPr>
      <w:r w:rsidRPr="003209AF">
        <w:t>Late payment interest must be paid starting on the day payment was due at a rate 2.5 percentage points above the Bank of England base rate.</w:t>
      </w:r>
    </w:p>
    <w:sectPr w:rsidR="00724558" w:rsidRPr="003209AF" w:rsidSect="00536C7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D2D" w:rsidRDefault="00296D2D" w:rsidP="00536C77">
      <w:pPr>
        <w:spacing w:after="0" w:line="240" w:lineRule="auto"/>
      </w:pPr>
      <w:r>
        <w:separator/>
      </w:r>
    </w:p>
  </w:endnote>
  <w:endnote w:type="continuationSeparator" w:id="0">
    <w:p w:rsidR="00296D2D" w:rsidRDefault="00296D2D" w:rsidP="0053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743349"/>
      <w:docPartObj>
        <w:docPartGallery w:val="Page Numbers (Bottom of Page)"/>
        <w:docPartUnique/>
      </w:docPartObj>
    </w:sdtPr>
    <w:sdtEndPr>
      <w:rPr>
        <w:noProof/>
      </w:rPr>
    </w:sdtEndPr>
    <w:sdtContent>
      <w:p w:rsidR="00195663" w:rsidRDefault="00195663">
        <w:pPr>
          <w:pStyle w:val="Footer"/>
          <w:jc w:val="right"/>
        </w:pPr>
        <w:r>
          <w:fldChar w:fldCharType="begin"/>
        </w:r>
        <w:r>
          <w:instrText xml:space="preserve"> PAGE   \* MERGEFORMAT </w:instrText>
        </w:r>
        <w:r>
          <w:fldChar w:fldCharType="separate"/>
        </w:r>
        <w:r w:rsidR="0050232D">
          <w:rPr>
            <w:noProof/>
          </w:rPr>
          <w:t>6</w:t>
        </w:r>
        <w:r>
          <w:rPr>
            <w:noProof/>
          </w:rPr>
          <w:fldChar w:fldCharType="end"/>
        </w:r>
      </w:p>
    </w:sdtContent>
  </w:sdt>
  <w:p w:rsidR="00195663" w:rsidRDefault="00195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D2D" w:rsidRDefault="00296D2D" w:rsidP="00536C77">
      <w:pPr>
        <w:spacing w:after="0" w:line="240" w:lineRule="auto"/>
      </w:pPr>
      <w:r>
        <w:separator/>
      </w:r>
    </w:p>
  </w:footnote>
  <w:footnote w:type="continuationSeparator" w:id="0">
    <w:p w:rsidR="00296D2D" w:rsidRDefault="00296D2D" w:rsidP="00536C77">
      <w:pPr>
        <w:spacing w:after="0" w:line="240" w:lineRule="auto"/>
      </w:pPr>
      <w:r>
        <w:continuationSeparator/>
      </w:r>
    </w:p>
  </w:footnote>
  <w:footnote w:id="1">
    <w:p w:rsidR="00195663" w:rsidRPr="00195663" w:rsidRDefault="00195663">
      <w:pPr>
        <w:pStyle w:val="FootnoteText"/>
        <w:rPr>
          <w:sz w:val="18"/>
          <w:szCs w:val="18"/>
        </w:rPr>
      </w:pPr>
      <w:r w:rsidRPr="00195663">
        <w:rPr>
          <w:rStyle w:val="FootnoteReference"/>
          <w:sz w:val="18"/>
          <w:szCs w:val="18"/>
        </w:rPr>
        <w:footnoteRef/>
      </w:r>
      <w:r w:rsidRPr="00195663">
        <w:rPr>
          <w:sz w:val="18"/>
          <w:szCs w:val="18"/>
        </w:rPr>
        <w:t xml:space="preserve"> South Somerset Approved Charging Schedule (November 2016): </w:t>
      </w:r>
      <w:hyperlink r:id="rId1" w:history="1">
        <w:r w:rsidRPr="00195663">
          <w:rPr>
            <w:rStyle w:val="Hyperlink"/>
            <w:sz w:val="18"/>
            <w:szCs w:val="18"/>
          </w:rPr>
          <w:t>http://modgov.southsomerset.gov.uk/ieListDocuments.aspx?CId=137&amp;MId=1805&amp;Ver=4</w:t>
        </w:r>
      </w:hyperlink>
    </w:p>
  </w:footnote>
  <w:footnote w:id="2">
    <w:p w:rsidR="00195663" w:rsidRPr="00195663" w:rsidRDefault="00195663" w:rsidP="00195663">
      <w:pPr>
        <w:pStyle w:val="FootnoteText"/>
        <w:rPr>
          <w:sz w:val="18"/>
          <w:szCs w:val="18"/>
        </w:rPr>
      </w:pPr>
      <w:r w:rsidRPr="00195663">
        <w:rPr>
          <w:rStyle w:val="FootnoteReference"/>
          <w:sz w:val="18"/>
          <w:szCs w:val="18"/>
        </w:rPr>
        <w:footnoteRef/>
      </w:r>
      <w:r w:rsidRPr="00195663">
        <w:rPr>
          <w:sz w:val="18"/>
          <w:szCs w:val="18"/>
        </w:rPr>
        <w:t xml:space="preserve"> As defined in Policy YV2 in the South Somerset Local Plan (2006 – 2028): North-East Sustainable Urban Extension and South Sustainable Urban Extension.</w:t>
      </w:r>
    </w:p>
  </w:footnote>
  <w:footnote w:id="3">
    <w:p w:rsidR="00195663" w:rsidRPr="00195663" w:rsidRDefault="00195663" w:rsidP="00195663">
      <w:pPr>
        <w:pStyle w:val="FootnoteText"/>
        <w:rPr>
          <w:sz w:val="18"/>
          <w:szCs w:val="18"/>
        </w:rPr>
      </w:pPr>
      <w:r w:rsidRPr="00195663">
        <w:rPr>
          <w:rStyle w:val="FootnoteReference"/>
          <w:sz w:val="18"/>
          <w:szCs w:val="18"/>
        </w:rPr>
        <w:footnoteRef/>
      </w:r>
      <w:r w:rsidRPr="00195663">
        <w:rPr>
          <w:sz w:val="18"/>
          <w:szCs w:val="18"/>
        </w:rPr>
        <w:t xml:space="preserve"> </w:t>
      </w:r>
      <w:r w:rsidRPr="00195663">
        <w:rPr>
          <w:rFonts w:cs="Arial"/>
          <w:sz w:val="18"/>
          <w:szCs w:val="18"/>
        </w:rPr>
        <w:t>As defined by Policy PMT1 &amp; PMT2 in the South Somerset Local Plan (2006 – 2028).</w:t>
      </w:r>
    </w:p>
  </w:footnote>
  <w:footnote w:id="4">
    <w:p w:rsidR="00195663" w:rsidRPr="00195663" w:rsidRDefault="00195663" w:rsidP="00195663">
      <w:pPr>
        <w:pStyle w:val="FootnoteText"/>
        <w:rPr>
          <w:sz w:val="18"/>
          <w:szCs w:val="18"/>
        </w:rPr>
      </w:pPr>
      <w:r w:rsidRPr="00195663">
        <w:rPr>
          <w:rStyle w:val="FootnoteReference"/>
          <w:sz w:val="18"/>
          <w:szCs w:val="18"/>
        </w:rPr>
        <w:footnoteRef/>
      </w:r>
      <w:r w:rsidRPr="00195663">
        <w:rPr>
          <w:sz w:val="18"/>
          <w:szCs w:val="18"/>
        </w:rPr>
        <w:t xml:space="preserve"> Supermarkets are shopping destinations in their own right where weekly food shopping needs are met and which can also include non-food </w:t>
      </w:r>
      <w:proofErr w:type="spellStart"/>
      <w:r w:rsidRPr="00195663">
        <w:rPr>
          <w:sz w:val="18"/>
          <w:szCs w:val="18"/>
        </w:rPr>
        <w:t>floorspace</w:t>
      </w:r>
      <w:proofErr w:type="spellEnd"/>
      <w:r w:rsidRPr="00195663">
        <w:rPr>
          <w:sz w:val="18"/>
          <w:szCs w:val="18"/>
        </w:rPr>
        <w:t xml:space="preserve"> as part of the overall mix. The majority of custom at supermarkets arrives by car, using the large adjacent car parks provided. </w:t>
      </w:r>
    </w:p>
    <w:p w:rsidR="00195663" w:rsidRPr="00195663" w:rsidRDefault="00195663" w:rsidP="00195663">
      <w:pPr>
        <w:pStyle w:val="FootnoteText"/>
        <w:rPr>
          <w:sz w:val="18"/>
          <w:szCs w:val="18"/>
        </w:rPr>
      </w:pPr>
      <w:r w:rsidRPr="00195663">
        <w:rPr>
          <w:sz w:val="18"/>
          <w:szCs w:val="18"/>
        </w:rPr>
        <w:t xml:space="preserve">Superstores are self-service stores selling mainly food, or food and non-food goods, with supporting car parking. </w:t>
      </w:r>
    </w:p>
    <w:p w:rsidR="00195663" w:rsidRPr="00195663" w:rsidRDefault="00195663" w:rsidP="00195663">
      <w:pPr>
        <w:pStyle w:val="FootnoteText"/>
        <w:rPr>
          <w:sz w:val="18"/>
          <w:szCs w:val="18"/>
        </w:rPr>
      </w:pPr>
      <w:r w:rsidRPr="00195663">
        <w:rPr>
          <w:sz w:val="18"/>
          <w:szCs w:val="18"/>
        </w:rPr>
        <w:t>Retail warehouses are large stores specialising in the sale of comparison and household goods (such as carpets, furniture and electrical goods), DIY items and other ranges of goods, catering mainly for car-borne customers.</w:t>
      </w:r>
    </w:p>
  </w:footnote>
  <w:footnote w:id="5">
    <w:p w:rsidR="00195663" w:rsidRPr="00906C26" w:rsidRDefault="00195663" w:rsidP="00195663">
      <w:pPr>
        <w:pStyle w:val="FootnoteText"/>
        <w:rPr>
          <w:sz w:val="18"/>
          <w:szCs w:val="18"/>
        </w:rPr>
      </w:pPr>
      <w:r w:rsidRPr="00195663">
        <w:rPr>
          <w:rStyle w:val="FootnoteReference"/>
          <w:sz w:val="18"/>
          <w:szCs w:val="18"/>
        </w:rPr>
        <w:footnoteRef/>
      </w:r>
      <w:r w:rsidRPr="00195663">
        <w:rPr>
          <w:sz w:val="18"/>
          <w:szCs w:val="18"/>
        </w:rPr>
        <w:t xml:space="preserve"> Town Centres as defined through Policy EP11 of the South Somerset Local Plan (2006 – 2028). Primary Shopping Areas in Yeovil and Chard as defined through Policy EP11 in the South Somerset Local Plan (2006 – 2028).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444C"/>
    <w:multiLevelType w:val="hybridMultilevel"/>
    <w:tmpl w:val="D04A55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9E0708"/>
    <w:multiLevelType w:val="hybridMultilevel"/>
    <w:tmpl w:val="FB6ABA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B44F63"/>
    <w:multiLevelType w:val="hybridMultilevel"/>
    <w:tmpl w:val="D818988A"/>
    <w:lvl w:ilvl="0" w:tplc="7B641CBE">
      <w:numFmt w:val="bullet"/>
      <w:lvlText w:val="-"/>
      <w:lvlJc w:val="left"/>
      <w:pPr>
        <w:ind w:left="0" w:hanging="360"/>
      </w:pPr>
      <w:rPr>
        <w:rFonts w:ascii="Arial" w:eastAsiaTheme="minorHAnsi" w:hAnsi="Arial" w:cs="Arial" w:hint="default"/>
      </w:rPr>
    </w:lvl>
    <w:lvl w:ilvl="1" w:tplc="7B641CBE">
      <w:numFmt w:val="bullet"/>
      <w:lvlText w:val="-"/>
      <w:lvlJc w:val="left"/>
      <w:pPr>
        <w:ind w:left="720" w:hanging="360"/>
      </w:pPr>
      <w:rPr>
        <w:rFonts w:ascii="Arial" w:eastAsiaTheme="minorHAnsi" w:hAnsi="Arial" w:cs="Arial"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nsid w:val="0A08127F"/>
    <w:multiLevelType w:val="hybridMultilevel"/>
    <w:tmpl w:val="A3404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D955AE"/>
    <w:multiLevelType w:val="hybridMultilevel"/>
    <w:tmpl w:val="758E2BD6"/>
    <w:lvl w:ilvl="0" w:tplc="3446E1DE">
      <w:start w:val="1"/>
      <w:numFmt w:val="bullet"/>
      <w:lvlText w:val="•"/>
      <w:lvlJc w:val="left"/>
      <w:pPr>
        <w:tabs>
          <w:tab w:val="num" w:pos="720"/>
        </w:tabs>
        <w:ind w:left="720" w:hanging="360"/>
      </w:pPr>
      <w:rPr>
        <w:rFonts w:ascii="Arial" w:hAnsi="Arial" w:hint="default"/>
      </w:rPr>
    </w:lvl>
    <w:lvl w:ilvl="1" w:tplc="9F6433A4" w:tentative="1">
      <w:start w:val="1"/>
      <w:numFmt w:val="bullet"/>
      <w:lvlText w:val="•"/>
      <w:lvlJc w:val="left"/>
      <w:pPr>
        <w:tabs>
          <w:tab w:val="num" w:pos="1440"/>
        </w:tabs>
        <w:ind w:left="1440" w:hanging="360"/>
      </w:pPr>
      <w:rPr>
        <w:rFonts w:ascii="Arial" w:hAnsi="Arial" w:hint="default"/>
      </w:rPr>
    </w:lvl>
    <w:lvl w:ilvl="2" w:tplc="834A4D5C" w:tentative="1">
      <w:start w:val="1"/>
      <w:numFmt w:val="bullet"/>
      <w:lvlText w:val="•"/>
      <w:lvlJc w:val="left"/>
      <w:pPr>
        <w:tabs>
          <w:tab w:val="num" w:pos="2160"/>
        </w:tabs>
        <w:ind w:left="2160" w:hanging="360"/>
      </w:pPr>
      <w:rPr>
        <w:rFonts w:ascii="Arial" w:hAnsi="Arial" w:hint="default"/>
      </w:rPr>
    </w:lvl>
    <w:lvl w:ilvl="3" w:tplc="3B3E2080" w:tentative="1">
      <w:start w:val="1"/>
      <w:numFmt w:val="bullet"/>
      <w:lvlText w:val="•"/>
      <w:lvlJc w:val="left"/>
      <w:pPr>
        <w:tabs>
          <w:tab w:val="num" w:pos="2880"/>
        </w:tabs>
        <w:ind w:left="2880" w:hanging="360"/>
      </w:pPr>
      <w:rPr>
        <w:rFonts w:ascii="Arial" w:hAnsi="Arial" w:hint="default"/>
      </w:rPr>
    </w:lvl>
    <w:lvl w:ilvl="4" w:tplc="48C05DA0" w:tentative="1">
      <w:start w:val="1"/>
      <w:numFmt w:val="bullet"/>
      <w:lvlText w:val="•"/>
      <w:lvlJc w:val="left"/>
      <w:pPr>
        <w:tabs>
          <w:tab w:val="num" w:pos="3600"/>
        </w:tabs>
        <w:ind w:left="3600" w:hanging="360"/>
      </w:pPr>
      <w:rPr>
        <w:rFonts w:ascii="Arial" w:hAnsi="Arial" w:hint="default"/>
      </w:rPr>
    </w:lvl>
    <w:lvl w:ilvl="5" w:tplc="25CC8F80" w:tentative="1">
      <w:start w:val="1"/>
      <w:numFmt w:val="bullet"/>
      <w:lvlText w:val="•"/>
      <w:lvlJc w:val="left"/>
      <w:pPr>
        <w:tabs>
          <w:tab w:val="num" w:pos="4320"/>
        </w:tabs>
        <w:ind w:left="4320" w:hanging="360"/>
      </w:pPr>
      <w:rPr>
        <w:rFonts w:ascii="Arial" w:hAnsi="Arial" w:hint="default"/>
      </w:rPr>
    </w:lvl>
    <w:lvl w:ilvl="6" w:tplc="90A2038C" w:tentative="1">
      <w:start w:val="1"/>
      <w:numFmt w:val="bullet"/>
      <w:lvlText w:val="•"/>
      <w:lvlJc w:val="left"/>
      <w:pPr>
        <w:tabs>
          <w:tab w:val="num" w:pos="5040"/>
        </w:tabs>
        <w:ind w:left="5040" w:hanging="360"/>
      </w:pPr>
      <w:rPr>
        <w:rFonts w:ascii="Arial" w:hAnsi="Arial" w:hint="default"/>
      </w:rPr>
    </w:lvl>
    <w:lvl w:ilvl="7" w:tplc="5AACE342" w:tentative="1">
      <w:start w:val="1"/>
      <w:numFmt w:val="bullet"/>
      <w:lvlText w:val="•"/>
      <w:lvlJc w:val="left"/>
      <w:pPr>
        <w:tabs>
          <w:tab w:val="num" w:pos="5760"/>
        </w:tabs>
        <w:ind w:left="5760" w:hanging="360"/>
      </w:pPr>
      <w:rPr>
        <w:rFonts w:ascii="Arial" w:hAnsi="Arial" w:hint="default"/>
      </w:rPr>
    </w:lvl>
    <w:lvl w:ilvl="8" w:tplc="E12C109C" w:tentative="1">
      <w:start w:val="1"/>
      <w:numFmt w:val="bullet"/>
      <w:lvlText w:val="•"/>
      <w:lvlJc w:val="left"/>
      <w:pPr>
        <w:tabs>
          <w:tab w:val="num" w:pos="6480"/>
        </w:tabs>
        <w:ind w:left="6480" w:hanging="360"/>
      </w:pPr>
      <w:rPr>
        <w:rFonts w:ascii="Arial" w:hAnsi="Arial" w:hint="default"/>
      </w:rPr>
    </w:lvl>
  </w:abstractNum>
  <w:abstractNum w:abstractNumId="5">
    <w:nsid w:val="1443148F"/>
    <w:multiLevelType w:val="hybridMultilevel"/>
    <w:tmpl w:val="D592F884"/>
    <w:lvl w:ilvl="0" w:tplc="89F26B30">
      <w:start w:val="1"/>
      <w:numFmt w:val="bullet"/>
      <w:lvlText w:val="•"/>
      <w:lvlJc w:val="left"/>
      <w:pPr>
        <w:tabs>
          <w:tab w:val="num" w:pos="720"/>
        </w:tabs>
        <w:ind w:left="720" w:hanging="360"/>
      </w:pPr>
      <w:rPr>
        <w:rFonts w:ascii="Arial" w:hAnsi="Arial" w:hint="default"/>
      </w:rPr>
    </w:lvl>
    <w:lvl w:ilvl="1" w:tplc="6970612E" w:tentative="1">
      <w:start w:val="1"/>
      <w:numFmt w:val="bullet"/>
      <w:lvlText w:val="•"/>
      <w:lvlJc w:val="left"/>
      <w:pPr>
        <w:tabs>
          <w:tab w:val="num" w:pos="1440"/>
        </w:tabs>
        <w:ind w:left="1440" w:hanging="360"/>
      </w:pPr>
      <w:rPr>
        <w:rFonts w:ascii="Arial" w:hAnsi="Arial" w:hint="default"/>
      </w:rPr>
    </w:lvl>
    <w:lvl w:ilvl="2" w:tplc="84BE018E" w:tentative="1">
      <w:start w:val="1"/>
      <w:numFmt w:val="bullet"/>
      <w:lvlText w:val="•"/>
      <w:lvlJc w:val="left"/>
      <w:pPr>
        <w:tabs>
          <w:tab w:val="num" w:pos="2160"/>
        </w:tabs>
        <w:ind w:left="2160" w:hanging="360"/>
      </w:pPr>
      <w:rPr>
        <w:rFonts w:ascii="Arial" w:hAnsi="Arial" w:hint="default"/>
      </w:rPr>
    </w:lvl>
    <w:lvl w:ilvl="3" w:tplc="FA7CED16" w:tentative="1">
      <w:start w:val="1"/>
      <w:numFmt w:val="bullet"/>
      <w:lvlText w:val="•"/>
      <w:lvlJc w:val="left"/>
      <w:pPr>
        <w:tabs>
          <w:tab w:val="num" w:pos="2880"/>
        </w:tabs>
        <w:ind w:left="2880" w:hanging="360"/>
      </w:pPr>
      <w:rPr>
        <w:rFonts w:ascii="Arial" w:hAnsi="Arial" w:hint="default"/>
      </w:rPr>
    </w:lvl>
    <w:lvl w:ilvl="4" w:tplc="2BFA99BC" w:tentative="1">
      <w:start w:val="1"/>
      <w:numFmt w:val="bullet"/>
      <w:lvlText w:val="•"/>
      <w:lvlJc w:val="left"/>
      <w:pPr>
        <w:tabs>
          <w:tab w:val="num" w:pos="3600"/>
        </w:tabs>
        <w:ind w:left="3600" w:hanging="360"/>
      </w:pPr>
      <w:rPr>
        <w:rFonts w:ascii="Arial" w:hAnsi="Arial" w:hint="default"/>
      </w:rPr>
    </w:lvl>
    <w:lvl w:ilvl="5" w:tplc="3334A328" w:tentative="1">
      <w:start w:val="1"/>
      <w:numFmt w:val="bullet"/>
      <w:lvlText w:val="•"/>
      <w:lvlJc w:val="left"/>
      <w:pPr>
        <w:tabs>
          <w:tab w:val="num" w:pos="4320"/>
        </w:tabs>
        <w:ind w:left="4320" w:hanging="360"/>
      </w:pPr>
      <w:rPr>
        <w:rFonts w:ascii="Arial" w:hAnsi="Arial" w:hint="default"/>
      </w:rPr>
    </w:lvl>
    <w:lvl w:ilvl="6" w:tplc="C284CE2C" w:tentative="1">
      <w:start w:val="1"/>
      <w:numFmt w:val="bullet"/>
      <w:lvlText w:val="•"/>
      <w:lvlJc w:val="left"/>
      <w:pPr>
        <w:tabs>
          <w:tab w:val="num" w:pos="5040"/>
        </w:tabs>
        <w:ind w:left="5040" w:hanging="360"/>
      </w:pPr>
      <w:rPr>
        <w:rFonts w:ascii="Arial" w:hAnsi="Arial" w:hint="default"/>
      </w:rPr>
    </w:lvl>
    <w:lvl w:ilvl="7" w:tplc="047EA2B6" w:tentative="1">
      <w:start w:val="1"/>
      <w:numFmt w:val="bullet"/>
      <w:lvlText w:val="•"/>
      <w:lvlJc w:val="left"/>
      <w:pPr>
        <w:tabs>
          <w:tab w:val="num" w:pos="5760"/>
        </w:tabs>
        <w:ind w:left="5760" w:hanging="360"/>
      </w:pPr>
      <w:rPr>
        <w:rFonts w:ascii="Arial" w:hAnsi="Arial" w:hint="default"/>
      </w:rPr>
    </w:lvl>
    <w:lvl w:ilvl="8" w:tplc="C4D4921A" w:tentative="1">
      <w:start w:val="1"/>
      <w:numFmt w:val="bullet"/>
      <w:lvlText w:val="•"/>
      <w:lvlJc w:val="left"/>
      <w:pPr>
        <w:tabs>
          <w:tab w:val="num" w:pos="6480"/>
        </w:tabs>
        <w:ind w:left="6480" w:hanging="360"/>
      </w:pPr>
      <w:rPr>
        <w:rFonts w:ascii="Arial" w:hAnsi="Arial" w:hint="default"/>
      </w:rPr>
    </w:lvl>
  </w:abstractNum>
  <w:abstractNum w:abstractNumId="6">
    <w:nsid w:val="162E2080"/>
    <w:multiLevelType w:val="hybridMultilevel"/>
    <w:tmpl w:val="04A215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7D74211"/>
    <w:multiLevelType w:val="hybridMultilevel"/>
    <w:tmpl w:val="96CE0B2A"/>
    <w:lvl w:ilvl="0" w:tplc="909C2C3A">
      <w:start w:val="1"/>
      <w:numFmt w:val="bullet"/>
      <w:lvlText w:val="•"/>
      <w:lvlJc w:val="left"/>
      <w:pPr>
        <w:tabs>
          <w:tab w:val="num" w:pos="720"/>
        </w:tabs>
        <w:ind w:left="720" w:hanging="360"/>
      </w:pPr>
      <w:rPr>
        <w:rFonts w:ascii="Arial" w:hAnsi="Arial" w:hint="default"/>
      </w:rPr>
    </w:lvl>
    <w:lvl w:ilvl="1" w:tplc="119A87EC" w:tentative="1">
      <w:start w:val="1"/>
      <w:numFmt w:val="bullet"/>
      <w:lvlText w:val="•"/>
      <w:lvlJc w:val="left"/>
      <w:pPr>
        <w:tabs>
          <w:tab w:val="num" w:pos="1440"/>
        </w:tabs>
        <w:ind w:left="1440" w:hanging="360"/>
      </w:pPr>
      <w:rPr>
        <w:rFonts w:ascii="Arial" w:hAnsi="Arial" w:hint="default"/>
      </w:rPr>
    </w:lvl>
    <w:lvl w:ilvl="2" w:tplc="ECEEF916" w:tentative="1">
      <w:start w:val="1"/>
      <w:numFmt w:val="bullet"/>
      <w:lvlText w:val="•"/>
      <w:lvlJc w:val="left"/>
      <w:pPr>
        <w:tabs>
          <w:tab w:val="num" w:pos="2160"/>
        </w:tabs>
        <w:ind w:left="2160" w:hanging="360"/>
      </w:pPr>
      <w:rPr>
        <w:rFonts w:ascii="Arial" w:hAnsi="Arial" w:hint="default"/>
      </w:rPr>
    </w:lvl>
    <w:lvl w:ilvl="3" w:tplc="7264F2E0" w:tentative="1">
      <w:start w:val="1"/>
      <w:numFmt w:val="bullet"/>
      <w:lvlText w:val="•"/>
      <w:lvlJc w:val="left"/>
      <w:pPr>
        <w:tabs>
          <w:tab w:val="num" w:pos="2880"/>
        </w:tabs>
        <w:ind w:left="2880" w:hanging="360"/>
      </w:pPr>
      <w:rPr>
        <w:rFonts w:ascii="Arial" w:hAnsi="Arial" w:hint="default"/>
      </w:rPr>
    </w:lvl>
    <w:lvl w:ilvl="4" w:tplc="3886D774" w:tentative="1">
      <w:start w:val="1"/>
      <w:numFmt w:val="bullet"/>
      <w:lvlText w:val="•"/>
      <w:lvlJc w:val="left"/>
      <w:pPr>
        <w:tabs>
          <w:tab w:val="num" w:pos="3600"/>
        </w:tabs>
        <w:ind w:left="3600" w:hanging="360"/>
      </w:pPr>
      <w:rPr>
        <w:rFonts w:ascii="Arial" w:hAnsi="Arial" w:hint="default"/>
      </w:rPr>
    </w:lvl>
    <w:lvl w:ilvl="5" w:tplc="3954C96C" w:tentative="1">
      <w:start w:val="1"/>
      <w:numFmt w:val="bullet"/>
      <w:lvlText w:val="•"/>
      <w:lvlJc w:val="left"/>
      <w:pPr>
        <w:tabs>
          <w:tab w:val="num" w:pos="4320"/>
        </w:tabs>
        <w:ind w:left="4320" w:hanging="360"/>
      </w:pPr>
      <w:rPr>
        <w:rFonts w:ascii="Arial" w:hAnsi="Arial" w:hint="default"/>
      </w:rPr>
    </w:lvl>
    <w:lvl w:ilvl="6" w:tplc="D30AC6F2" w:tentative="1">
      <w:start w:val="1"/>
      <w:numFmt w:val="bullet"/>
      <w:lvlText w:val="•"/>
      <w:lvlJc w:val="left"/>
      <w:pPr>
        <w:tabs>
          <w:tab w:val="num" w:pos="5040"/>
        </w:tabs>
        <w:ind w:left="5040" w:hanging="360"/>
      </w:pPr>
      <w:rPr>
        <w:rFonts w:ascii="Arial" w:hAnsi="Arial" w:hint="default"/>
      </w:rPr>
    </w:lvl>
    <w:lvl w:ilvl="7" w:tplc="A61AA7AC" w:tentative="1">
      <w:start w:val="1"/>
      <w:numFmt w:val="bullet"/>
      <w:lvlText w:val="•"/>
      <w:lvlJc w:val="left"/>
      <w:pPr>
        <w:tabs>
          <w:tab w:val="num" w:pos="5760"/>
        </w:tabs>
        <w:ind w:left="5760" w:hanging="360"/>
      </w:pPr>
      <w:rPr>
        <w:rFonts w:ascii="Arial" w:hAnsi="Arial" w:hint="default"/>
      </w:rPr>
    </w:lvl>
    <w:lvl w:ilvl="8" w:tplc="E9365448" w:tentative="1">
      <w:start w:val="1"/>
      <w:numFmt w:val="bullet"/>
      <w:lvlText w:val="•"/>
      <w:lvlJc w:val="left"/>
      <w:pPr>
        <w:tabs>
          <w:tab w:val="num" w:pos="6480"/>
        </w:tabs>
        <w:ind w:left="6480" w:hanging="360"/>
      </w:pPr>
      <w:rPr>
        <w:rFonts w:ascii="Arial" w:hAnsi="Arial" w:hint="default"/>
      </w:rPr>
    </w:lvl>
  </w:abstractNum>
  <w:abstractNum w:abstractNumId="8">
    <w:nsid w:val="17E449D7"/>
    <w:multiLevelType w:val="multilevel"/>
    <w:tmpl w:val="527A8C68"/>
    <w:lvl w:ilvl="0">
      <w:start w:val="1"/>
      <w:numFmt w:val="bullet"/>
      <w:lvlText w:val=""/>
      <w:lvlJc w:val="left"/>
      <w:pPr>
        <w:ind w:left="1069" w:hanging="360"/>
      </w:pPr>
      <w:rPr>
        <w:rFonts w:ascii="Symbol" w:hAnsi="Symbol" w:hint="default"/>
      </w:rPr>
    </w:lvl>
    <w:lvl w:ilvl="1">
      <w:start w:val="1"/>
      <w:numFmt w:val="decimal"/>
      <w:lvlText w:val="%1.%2."/>
      <w:lvlJc w:val="left"/>
      <w:pPr>
        <w:ind w:left="1501" w:hanging="432"/>
      </w:pPr>
      <w:rPr>
        <w:rFonts w:hint="default"/>
      </w:rPr>
    </w:lvl>
    <w:lvl w:ilvl="2">
      <w:start w:val="1"/>
      <w:numFmt w:val="bullet"/>
      <w:lvlText w:val=""/>
      <w:lvlJc w:val="left"/>
      <w:pPr>
        <w:ind w:left="1933" w:hanging="504"/>
      </w:pPr>
      <w:rPr>
        <w:rFonts w:ascii="Symbol" w:hAnsi="Symbol"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9">
    <w:nsid w:val="19895715"/>
    <w:multiLevelType w:val="hybridMultilevel"/>
    <w:tmpl w:val="235CCB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A903429"/>
    <w:multiLevelType w:val="hybridMultilevel"/>
    <w:tmpl w:val="ACA4A42E"/>
    <w:lvl w:ilvl="0" w:tplc="25D48C6C">
      <w:start w:val="1"/>
      <w:numFmt w:val="bullet"/>
      <w:lvlText w:val="•"/>
      <w:lvlJc w:val="left"/>
      <w:pPr>
        <w:tabs>
          <w:tab w:val="num" w:pos="720"/>
        </w:tabs>
        <w:ind w:left="720" w:hanging="360"/>
      </w:pPr>
      <w:rPr>
        <w:rFonts w:ascii="Arial" w:hAnsi="Arial" w:hint="default"/>
      </w:rPr>
    </w:lvl>
    <w:lvl w:ilvl="1" w:tplc="A6DCD91A" w:tentative="1">
      <w:start w:val="1"/>
      <w:numFmt w:val="bullet"/>
      <w:lvlText w:val="•"/>
      <w:lvlJc w:val="left"/>
      <w:pPr>
        <w:tabs>
          <w:tab w:val="num" w:pos="1440"/>
        </w:tabs>
        <w:ind w:left="1440" w:hanging="360"/>
      </w:pPr>
      <w:rPr>
        <w:rFonts w:ascii="Arial" w:hAnsi="Arial" w:hint="default"/>
      </w:rPr>
    </w:lvl>
    <w:lvl w:ilvl="2" w:tplc="4D5C29C2" w:tentative="1">
      <w:start w:val="1"/>
      <w:numFmt w:val="bullet"/>
      <w:lvlText w:val="•"/>
      <w:lvlJc w:val="left"/>
      <w:pPr>
        <w:tabs>
          <w:tab w:val="num" w:pos="2160"/>
        </w:tabs>
        <w:ind w:left="2160" w:hanging="360"/>
      </w:pPr>
      <w:rPr>
        <w:rFonts w:ascii="Arial" w:hAnsi="Arial" w:hint="default"/>
      </w:rPr>
    </w:lvl>
    <w:lvl w:ilvl="3" w:tplc="4EA8FDE2" w:tentative="1">
      <w:start w:val="1"/>
      <w:numFmt w:val="bullet"/>
      <w:lvlText w:val="•"/>
      <w:lvlJc w:val="left"/>
      <w:pPr>
        <w:tabs>
          <w:tab w:val="num" w:pos="2880"/>
        </w:tabs>
        <w:ind w:left="2880" w:hanging="360"/>
      </w:pPr>
      <w:rPr>
        <w:rFonts w:ascii="Arial" w:hAnsi="Arial" w:hint="default"/>
      </w:rPr>
    </w:lvl>
    <w:lvl w:ilvl="4" w:tplc="4FD4FA78" w:tentative="1">
      <w:start w:val="1"/>
      <w:numFmt w:val="bullet"/>
      <w:lvlText w:val="•"/>
      <w:lvlJc w:val="left"/>
      <w:pPr>
        <w:tabs>
          <w:tab w:val="num" w:pos="3600"/>
        </w:tabs>
        <w:ind w:left="3600" w:hanging="360"/>
      </w:pPr>
      <w:rPr>
        <w:rFonts w:ascii="Arial" w:hAnsi="Arial" w:hint="default"/>
      </w:rPr>
    </w:lvl>
    <w:lvl w:ilvl="5" w:tplc="6E9E1748" w:tentative="1">
      <w:start w:val="1"/>
      <w:numFmt w:val="bullet"/>
      <w:lvlText w:val="•"/>
      <w:lvlJc w:val="left"/>
      <w:pPr>
        <w:tabs>
          <w:tab w:val="num" w:pos="4320"/>
        </w:tabs>
        <w:ind w:left="4320" w:hanging="360"/>
      </w:pPr>
      <w:rPr>
        <w:rFonts w:ascii="Arial" w:hAnsi="Arial" w:hint="default"/>
      </w:rPr>
    </w:lvl>
    <w:lvl w:ilvl="6" w:tplc="8B4A0E10" w:tentative="1">
      <w:start w:val="1"/>
      <w:numFmt w:val="bullet"/>
      <w:lvlText w:val="•"/>
      <w:lvlJc w:val="left"/>
      <w:pPr>
        <w:tabs>
          <w:tab w:val="num" w:pos="5040"/>
        </w:tabs>
        <w:ind w:left="5040" w:hanging="360"/>
      </w:pPr>
      <w:rPr>
        <w:rFonts w:ascii="Arial" w:hAnsi="Arial" w:hint="default"/>
      </w:rPr>
    </w:lvl>
    <w:lvl w:ilvl="7" w:tplc="F1C0D25E" w:tentative="1">
      <w:start w:val="1"/>
      <w:numFmt w:val="bullet"/>
      <w:lvlText w:val="•"/>
      <w:lvlJc w:val="left"/>
      <w:pPr>
        <w:tabs>
          <w:tab w:val="num" w:pos="5760"/>
        </w:tabs>
        <w:ind w:left="5760" w:hanging="360"/>
      </w:pPr>
      <w:rPr>
        <w:rFonts w:ascii="Arial" w:hAnsi="Arial" w:hint="default"/>
      </w:rPr>
    </w:lvl>
    <w:lvl w:ilvl="8" w:tplc="1AAE096A" w:tentative="1">
      <w:start w:val="1"/>
      <w:numFmt w:val="bullet"/>
      <w:lvlText w:val="•"/>
      <w:lvlJc w:val="left"/>
      <w:pPr>
        <w:tabs>
          <w:tab w:val="num" w:pos="6480"/>
        </w:tabs>
        <w:ind w:left="6480" w:hanging="360"/>
      </w:pPr>
      <w:rPr>
        <w:rFonts w:ascii="Arial" w:hAnsi="Arial" w:hint="default"/>
      </w:rPr>
    </w:lvl>
  </w:abstractNum>
  <w:abstractNum w:abstractNumId="11">
    <w:nsid w:val="1AA26972"/>
    <w:multiLevelType w:val="hybridMultilevel"/>
    <w:tmpl w:val="0E1209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1FE55318"/>
    <w:multiLevelType w:val="hybridMultilevel"/>
    <w:tmpl w:val="27569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23035D1"/>
    <w:multiLevelType w:val="hybridMultilevel"/>
    <w:tmpl w:val="87042B5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nsid w:val="22CC3762"/>
    <w:multiLevelType w:val="hybridMultilevel"/>
    <w:tmpl w:val="B97426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5266F19"/>
    <w:multiLevelType w:val="hybridMultilevel"/>
    <w:tmpl w:val="E7FEC354"/>
    <w:lvl w:ilvl="0" w:tplc="1A6E68CA">
      <w:start w:val="1"/>
      <w:numFmt w:val="bullet"/>
      <w:lvlText w:val="•"/>
      <w:lvlJc w:val="left"/>
      <w:pPr>
        <w:tabs>
          <w:tab w:val="num" w:pos="720"/>
        </w:tabs>
        <w:ind w:left="720" w:hanging="360"/>
      </w:pPr>
      <w:rPr>
        <w:rFonts w:ascii="Arial" w:hAnsi="Arial" w:hint="default"/>
      </w:rPr>
    </w:lvl>
    <w:lvl w:ilvl="1" w:tplc="73D07ABC" w:tentative="1">
      <w:start w:val="1"/>
      <w:numFmt w:val="bullet"/>
      <w:lvlText w:val="•"/>
      <w:lvlJc w:val="left"/>
      <w:pPr>
        <w:tabs>
          <w:tab w:val="num" w:pos="1440"/>
        </w:tabs>
        <w:ind w:left="1440" w:hanging="360"/>
      </w:pPr>
      <w:rPr>
        <w:rFonts w:ascii="Arial" w:hAnsi="Arial" w:hint="default"/>
      </w:rPr>
    </w:lvl>
    <w:lvl w:ilvl="2" w:tplc="01DA4AEE" w:tentative="1">
      <w:start w:val="1"/>
      <w:numFmt w:val="bullet"/>
      <w:lvlText w:val="•"/>
      <w:lvlJc w:val="left"/>
      <w:pPr>
        <w:tabs>
          <w:tab w:val="num" w:pos="2160"/>
        </w:tabs>
        <w:ind w:left="2160" w:hanging="360"/>
      </w:pPr>
      <w:rPr>
        <w:rFonts w:ascii="Arial" w:hAnsi="Arial" w:hint="default"/>
      </w:rPr>
    </w:lvl>
    <w:lvl w:ilvl="3" w:tplc="00C87416" w:tentative="1">
      <w:start w:val="1"/>
      <w:numFmt w:val="bullet"/>
      <w:lvlText w:val="•"/>
      <w:lvlJc w:val="left"/>
      <w:pPr>
        <w:tabs>
          <w:tab w:val="num" w:pos="2880"/>
        </w:tabs>
        <w:ind w:left="2880" w:hanging="360"/>
      </w:pPr>
      <w:rPr>
        <w:rFonts w:ascii="Arial" w:hAnsi="Arial" w:hint="default"/>
      </w:rPr>
    </w:lvl>
    <w:lvl w:ilvl="4" w:tplc="F4748D30" w:tentative="1">
      <w:start w:val="1"/>
      <w:numFmt w:val="bullet"/>
      <w:lvlText w:val="•"/>
      <w:lvlJc w:val="left"/>
      <w:pPr>
        <w:tabs>
          <w:tab w:val="num" w:pos="3600"/>
        </w:tabs>
        <w:ind w:left="3600" w:hanging="360"/>
      </w:pPr>
      <w:rPr>
        <w:rFonts w:ascii="Arial" w:hAnsi="Arial" w:hint="default"/>
      </w:rPr>
    </w:lvl>
    <w:lvl w:ilvl="5" w:tplc="D482FADE" w:tentative="1">
      <w:start w:val="1"/>
      <w:numFmt w:val="bullet"/>
      <w:lvlText w:val="•"/>
      <w:lvlJc w:val="left"/>
      <w:pPr>
        <w:tabs>
          <w:tab w:val="num" w:pos="4320"/>
        </w:tabs>
        <w:ind w:left="4320" w:hanging="360"/>
      </w:pPr>
      <w:rPr>
        <w:rFonts w:ascii="Arial" w:hAnsi="Arial" w:hint="default"/>
      </w:rPr>
    </w:lvl>
    <w:lvl w:ilvl="6" w:tplc="D148472E" w:tentative="1">
      <w:start w:val="1"/>
      <w:numFmt w:val="bullet"/>
      <w:lvlText w:val="•"/>
      <w:lvlJc w:val="left"/>
      <w:pPr>
        <w:tabs>
          <w:tab w:val="num" w:pos="5040"/>
        </w:tabs>
        <w:ind w:left="5040" w:hanging="360"/>
      </w:pPr>
      <w:rPr>
        <w:rFonts w:ascii="Arial" w:hAnsi="Arial" w:hint="default"/>
      </w:rPr>
    </w:lvl>
    <w:lvl w:ilvl="7" w:tplc="1072510A" w:tentative="1">
      <w:start w:val="1"/>
      <w:numFmt w:val="bullet"/>
      <w:lvlText w:val="•"/>
      <w:lvlJc w:val="left"/>
      <w:pPr>
        <w:tabs>
          <w:tab w:val="num" w:pos="5760"/>
        </w:tabs>
        <w:ind w:left="5760" w:hanging="360"/>
      </w:pPr>
      <w:rPr>
        <w:rFonts w:ascii="Arial" w:hAnsi="Arial" w:hint="default"/>
      </w:rPr>
    </w:lvl>
    <w:lvl w:ilvl="8" w:tplc="4B30EC42" w:tentative="1">
      <w:start w:val="1"/>
      <w:numFmt w:val="bullet"/>
      <w:lvlText w:val="•"/>
      <w:lvlJc w:val="left"/>
      <w:pPr>
        <w:tabs>
          <w:tab w:val="num" w:pos="6480"/>
        </w:tabs>
        <w:ind w:left="6480" w:hanging="360"/>
      </w:pPr>
      <w:rPr>
        <w:rFonts w:ascii="Arial" w:hAnsi="Arial" w:hint="default"/>
      </w:rPr>
    </w:lvl>
  </w:abstractNum>
  <w:abstractNum w:abstractNumId="16">
    <w:nsid w:val="25957A3A"/>
    <w:multiLevelType w:val="hybridMultilevel"/>
    <w:tmpl w:val="AA38A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5CA6331"/>
    <w:multiLevelType w:val="multilevel"/>
    <w:tmpl w:val="527A8C68"/>
    <w:lvl w:ilvl="0">
      <w:start w:val="1"/>
      <w:numFmt w:val="bullet"/>
      <w:lvlText w:val=""/>
      <w:lvlJc w:val="left"/>
      <w:pPr>
        <w:ind w:left="1069" w:hanging="360"/>
      </w:pPr>
      <w:rPr>
        <w:rFonts w:ascii="Symbol" w:hAnsi="Symbol" w:hint="default"/>
      </w:rPr>
    </w:lvl>
    <w:lvl w:ilvl="1">
      <w:start w:val="1"/>
      <w:numFmt w:val="decimal"/>
      <w:lvlText w:val="%1.%2."/>
      <w:lvlJc w:val="left"/>
      <w:pPr>
        <w:ind w:left="1501" w:hanging="432"/>
      </w:pPr>
      <w:rPr>
        <w:rFonts w:hint="default"/>
      </w:rPr>
    </w:lvl>
    <w:lvl w:ilvl="2">
      <w:start w:val="1"/>
      <w:numFmt w:val="bullet"/>
      <w:lvlText w:val=""/>
      <w:lvlJc w:val="left"/>
      <w:pPr>
        <w:ind w:left="1933" w:hanging="504"/>
      </w:pPr>
      <w:rPr>
        <w:rFonts w:ascii="Symbol" w:hAnsi="Symbol"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8">
    <w:nsid w:val="26AB28B2"/>
    <w:multiLevelType w:val="hybridMultilevel"/>
    <w:tmpl w:val="E9E80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A4F4FF3"/>
    <w:multiLevelType w:val="hybridMultilevel"/>
    <w:tmpl w:val="ECC85CB4"/>
    <w:lvl w:ilvl="0" w:tplc="F678F362">
      <w:start w:val="1"/>
      <w:numFmt w:val="bullet"/>
      <w:lvlText w:val="•"/>
      <w:lvlJc w:val="left"/>
      <w:pPr>
        <w:tabs>
          <w:tab w:val="num" w:pos="720"/>
        </w:tabs>
        <w:ind w:left="720" w:hanging="360"/>
      </w:pPr>
      <w:rPr>
        <w:rFonts w:ascii="Arial" w:hAnsi="Arial" w:hint="default"/>
      </w:rPr>
    </w:lvl>
    <w:lvl w:ilvl="1" w:tplc="ABA69012">
      <w:start w:val="32"/>
      <w:numFmt w:val="bullet"/>
      <w:lvlText w:val="–"/>
      <w:lvlJc w:val="left"/>
      <w:pPr>
        <w:tabs>
          <w:tab w:val="num" w:pos="1440"/>
        </w:tabs>
        <w:ind w:left="1440" w:hanging="360"/>
      </w:pPr>
      <w:rPr>
        <w:rFonts w:ascii="Arial" w:hAnsi="Arial" w:hint="default"/>
      </w:rPr>
    </w:lvl>
    <w:lvl w:ilvl="2" w:tplc="8EFE3BDC" w:tentative="1">
      <w:start w:val="1"/>
      <w:numFmt w:val="bullet"/>
      <w:lvlText w:val="•"/>
      <w:lvlJc w:val="left"/>
      <w:pPr>
        <w:tabs>
          <w:tab w:val="num" w:pos="2160"/>
        </w:tabs>
        <w:ind w:left="2160" w:hanging="360"/>
      </w:pPr>
      <w:rPr>
        <w:rFonts w:ascii="Arial" w:hAnsi="Arial" w:hint="default"/>
      </w:rPr>
    </w:lvl>
    <w:lvl w:ilvl="3" w:tplc="BCC0AA60" w:tentative="1">
      <w:start w:val="1"/>
      <w:numFmt w:val="bullet"/>
      <w:lvlText w:val="•"/>
      <w:lvlJc w:val="left"/>
      <w:pPr>
        <w:tabs>
          <w:tab w:val="num" w:pos="2880"/>
        </w:tabs>
        <w:ind w:left="2880" w:hanging="360"/>
      </w:pPr>
      <w:rPr>
        <w:rFonts w:ascii="Arial" w:hAnsi="Arial" w:hint="default"/>
      </w:rPr>
    </w:lvl>
    <w:lvl w:ilvl="4" w:tplc="BB36968E" w:tentative="1">
      <w:start w:val="1"/>
      <w:numFmt w:val="bullet"/>
      <w:lvlText w:val="•"/>
      <w:lvlJc w:val="left"/>
      <w:pPr>
        <w:tabs>
          <w:tab w:val="num" w:pos="3600"/>
        </w:tabs>
        <w:ind w:left="3600" w:hanging="360"/>
      </w:pPr>
      <w:rPr>
        <w:rFonts w:ascii="Arial" w:hAnsi="Arial" w:hint="default"/>
      </w:rPr>
    </w:lvl>
    <w:lvl w:ilvl="5" w:tplc="2E1065D2" w:tentative="1">
      <w:start w:val="1"/>
      <w:numFmt w:val="bullet"/>
      <w:lvlText w:val="•"/>
      <w:lvlJc w:val="left"/>
      <w:pPr>
        <w:tabs>
          <w:tab w:val="num" w:pos="4320"/>
        </w:tabs>
        <w:ind w:left="4320" w:hanging="360"/>
      </w:pPr>
      <w:rPr>
        <w:rFonts w:ascii="Arial" w:hAnsi="Arial" w:hint="default"/>
      </w:rPr>
    </w:lvl>
    <w:lvl w:ilvl="6" w:tplc="8B48F558" w:tentative="1">
      <w:start w:val="1"/>
      <w:numFmt w:val="bullet"/>
      <w:lvlText w:val="•"/>
      <w:lvlJc w:val="left"/>
      <w:pPr>
        <w:tabs>
          <w:tab w:val="num" w:pos="5040"/>
        </w:tabs>
        <w:ind w:left="5040" w:hanging="360"/>
      </w:pPr>
      <w:rPr>
        <w:rFonts w:ascii="Arial" w:hAnsi="Arial" w:hint="default"/>
      </w:rPr>
    </w:lvl>
    <w:lvl w:ilvl="7" w:tplc="E8B0666C" w:tentative="1">
      <w:start w:val="1"/>
      <w:numFmt w:val="bullet"/>
      <w:lvlText w:val="•"/>
      <w:lvlJc w:val="left"/>
      <w:pPr>
        <w:tabs>
          <w:tab w:val="num" w:pos="5760"/>
        </w:tabs>
        <w:ind w:left="5760" w:hanging="360"/>
      </w:pPr>
      <w:rPr>
        <w:rFonts w:ascii="Arial" w:hAnsi="Arial" w:hint="default"/>
      </w:rPr>
    </w:lvl>
    <w:lvl w:ilvl="8" w:tplc="A79EDA32" w:tentative="1">
      <w:start w:val="1"/>
      <w:numFmt w:val="bullet"/>
      <w:lvlText w:val="•"/>
      <w:lvlJc w:val="left"/>
      <w:pPr>
        <w:tabs>
          <w:tab w:val="num" w:pos="6480"/>
        </w:tabs>
        <w:ind w:left="6480" w:hanging="360"/>
      </w:pPr>
      <w:rPr>
        <w:rFonts w:ascii="Arial" w:hAnsi="Arial" w:hint="default"/>
      </w:rPr>
    </w:lvl>
  </w:abstractNum>
  <w:abstractNum w:abstractNumId="20">
    <w:nsid w:val="2BF81791"/>
    <w:multiLevelType w:val="hybridMultilevel"/>
    <w:tmpl w:val="F4A4E1B6"/>
    <w:lvl w:ilvl="0" w:tplc="B19C319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C056841"/>
    <w:multiLevelType w:val="hybridMultilevel"/>
    <w:tmpl w:val="864C9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04748C5"/>
    <w:multiLevelType w:val="hybridMultilevel"/>
    <w:tmpl w:val="1902BD08"/>
    <w:lvl w:ilvl="0" w:tplc="505677AC">
      <w:start w:val="1"/>
      <w:numFmt w:val="lowerRoman"/>
      <w:lvlText w:val="%1."/>
      <w:lvlJc w:val="righ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36310D9"/>
    <w:multiLevelType w:val="hybridMultilevel"/>
    <w:tmpl w:val="C6CC36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4B94C9C"/>
    <w:multiLevelType w:val="hybridMultilevel"/>
    <w:tmpl w:val="71C050A2"/>
    <w:lvl w:ilvl="0" w:tplc="A7DC50E4">
      <w:start w:val="1"/>
      <w:numFmt w:val="bullet"/>
      <w:lvlText w:val="•"/>
      <w:lvlJc w:val="left"/>
      <w:pPr>
        <w:tabs>
          <w:tab w:val="num" w:pos="720"/>
        </w:tabs>
        <w:ind w:left="720" w:hanging="360"/>
      </w:pPr>
      <w:rPr>
        <w:rFonts w:ascii="Arial" w:hAnsi="Arial" w:hint="default"/>
      </w:rPr>
    </w:lvl>
    <w:lvl w:ilvl="1" w:tplc="CE040B06" w:tentative="1">
      <w:start w:val="1"/>
      <w:numFmt w:val="bullet"/>
      <w:lvlText w:val="•"/>
      <w:lvlJc w:val="left"/>
      <w:pPr>
        <w:tabs>
          <w:tab w:val="num" w:pos="1440"/>
        </w:tabs>
        <w:ind w:left="1440" w:hanging="360"/>
      </w:pPr>
      <w:rPr>
        <w:rFonts w:ascii="Arial" w:hAnsi="Arial" w:hint="default"/>
      </w:rPr>
    </w:lvl>
    <w:lvl w:ilvl="2" w:tplc="3F6A4DE8" w:tentative="1">
      <w:start w:val="1"/>
      <w:numFmt w:val="bullet"/>
      <w:lvlText w:val="•"/>
      <w:lvlJc w:val="left"/>
      <w:pPr>
        <w:tabs>
          <w:tab w:val="num" w:pos="2160"/>
        </w:tabs>
        <w:ind w:left="2160" w:hanging="360"/>
      </w:pPr>
      <w:rPr>
        <w:rFonts w:ascii="Arial" w:hAnsi="Arial" w:hint="default"/>
      </w:rPr>
    </w:lvl>
    <w:lvl w:ilvl="3" w:tplc="4C3AE17E" w:tentative="1">
      <w:start w:val="1"/>
      <w:numFmt w:val="bullet"/>
      <w:lvlText w:val="•"/>
      <w:lvlJc w:val="left"/>
      <w:pPr>
        <w:tabs>
          <w:tab w:val="num" w:pos="2880"/>
        </w:tabs>
        <w:ind w:left="2880" w:hanging="360"/>
      </w:pPr>
      <w:rPr>
        <w:rFonts w:ascii="Arial" w:hAnsi="Arial" w:hint="default"/>
      </w:rPr>
    </w:lvl>
    <w:lvl w:ilvl="4" w:tplc="3C3C1A76" w:tentative="1">
      <w:start w:val="1"/>
      <w:numFmt w:val="bullet"/>
      <w:lvlText w:val="•"/>
      <w:lvlJc w:val="left"/>
      <w:pPr>
        <w:tabs>
          <w:tab w:val="num" w:pos="3600"/>
        </w:tabs>
        <w:ind w:left="3600" w:hanging="360"/>
      </w:pPr>
      <w:rPr>
        <w:rFonts w:ascii="Arial" w:hAnsi="Arial" w:hint="default"/>
      </w:rPr>
    </w:lvl>
    <w:lvl w:ilvl="5" w:tplc="8E606728" w:tentative="1">
      <w:start w:val="1"/>
      <w:numFmt w:val="bullet"/>
      <w:lvlText w:val="•"/>
      <w:lvlJc w:val="left"/>
      <w:pPr>
        <w:tabs>
          <w:tab w:val="num" w:pos="4320"/>
        </w:tabs>
        <w:ind w:left="4320" w:hanging="360"/>
      </w:pPr>
      <w:rPr>
        <w:rFonts w:ascii="Arial" w:hAnsi="Arial" w:hint="default"/>
      </w:rPr>
    </w:lvl>
    <w:lvl w:ilvl="6" w:tplc="E9AC2CD2" w:tentative="1">
      <w:start w:val="1"/>
      <w:numFmt w:val="bullet"/>
      <w:lvlText w:val="•"/>
      <w:lvlJc w:val="left"/>
      <w:pPr>
        <w:tabs>
          <w:tab w:val="num" w:pos="5040"/>
        </w:tabs>
        <w:ind w:left="5040" w:hanging="360"/>
      </w:pPr>
      <w:rPr>
        <w:rFonts w:ascii="Arial" w:hAnsi="Arial" w:hint="default"/>
      </w:rPr>
    </w:lvl>
    <w:lvl w:ilvl="7" w:tplc="C5168BD8" w:tentative="1">
      <w:start w:val="1"/>
      <w:numFmt w:val="bullet"/>
      <w:lvlText w:val="•"/>
      <w:lvlJc w:val="left"/>
      <w:pPr>
        <w:tabs>
          <w:tab w:val="num" w:pos="5760"/>
        </w:tabs>
        <w:ind w:left="5760" w:hanging="360"/>
      </w:pPr>
      <w:rPr>
        <w:rFonts w:ascii="Arial" w:hAnsi="Arial" w:hint="default"/>
      </w:rPr>
    </w:lvl>
    <w:lvl w:ilvl="8" w:tplc="5A30396C" w:tentative="1">
      <w:start w:val="1"/>
      <w:numFmt w:val="bullet"/>
      <w:lvlText w:val="•"/>
      <w:lvlJc w:val="left"/>
      <w:pPr>
        <w:tabs>
          <w:tab w:val="num" w:pos="6480"/>
        </w:tabs>
        <w:ind w:left="6480" w:hanging="360"/>
      </w:pPr>
      <w:rPr>
        <w:rFonts w:ascii="Arial" w:hAnsi="Arial" w:hint="default"/>
      </w:rPr>
    </w:lvl>
  </w:abstractNum>
  <w:abstractNum w:abstractNumId="25">
    <w:nsid w:val="37690351"/>
    <w:multiLevelType w:val="hybridMultilevel"/>
    <w:tmpl w:val="EA741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170918"/>
    <w:multiLevelType w:val="multilevel"/>
    <w:tmpl w:val="5444340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4595E15"/>
    <w:multiLevelType w:val="hybridMultilevel"/>
    <w:tmpl w:val="21786A0C"/>
    <w:lvl w:ilvl="0" w:tplc="E17042CA">
      <w:start w:val="1"/>
      <w:numFmt w:val="bullet"/>
      <w:lvlText w:val="•"/>
      <w:lvlJc w:val="left"/>
      <w:pPr>
        <w:tabs>
          <w:tab w:val="num" w:pos="720"/>
        </w:tabs>
        <w:ind w:left="720" w:hanging="360"/>
      </w:pPr>
      <w:rPr>
        <w:rFonts w:ascii="Arial" w:hAnsi="Arial" w:hint="default"/>
      </w:rPr>
    </w:lvl>
    <w:lvl w:ilvl="1" w:tplc="D5CEF25C" w:tentative="1">
      <w:start w:val="1"/>
      <w:numFmt w:val="bullet"/>
      <w:lvlText w:val="•"/>
      <w:lvlJc w:val="left"/>
      <w:pPr>
        <w:tabs>
          <w:tab w:val="num" w:pos="1440"/>
        </w:tabs>
        <w:ind w:left="1440" w:hanging="360"/>
      </w:pPr>
      <w:rPr>
        <w:rFonts w:ascii="Arial" w:hAnsi="Arial" w:hint="default"/>
      </w:rPr>
    </w:lvl>
    <w:lvl w:ilvl="2" w:tplc="5DF28964" w:tentative="1">
      <w:start w:val="1"/>
      <w:numFmt w:val="bullet"/>
      <w:lvlText w:val="•"/>
      <w:lvlJc w:val="left"/>
      <w:pPr>
        <w:tabs>
          <w:tab w:val="num" w:pos="2160"/>
        </w:tabs>
        <w:ind w:left="2160" w:hanging="360"/>
      </w:pPr>
      <w:rPr>
        <w:rFonts w:ascii="Arial" w:hAnsi="Arial" w:hint="default"/>
      </w:rPr>
    </w:lvl>
    <w:lvl w:ilvl="3" w:tplc="6A549C46" w:tentative="1">
      <w:start w:val="1"/>
      <w:numFmt w:val="bullet"/>
      <w:lvlText w:val="•"/>
      <w:lvlJc w:val="left"/>
      <w:pPr>
        <w:tabs>
          <w:tab w:val="num" w:pos="2880"/>
        </w:tabs>
        <w:ind w:left="2880" w:hanging="360"/>
      </w:pPr>
      <w:rPr>
        <w:rFonts w:ascii="Arial" w:hAnsi="Arial" w:hint="default"/>
      </w:rPr>
    </w:lvl>
    <w:lvl w:ilvl="4" w:tplc="AE601788" w:tentative="1">
      <w:start w:val="1"/>
      <w:numFmt w:val="bullet"/>
      <w:lvlText w:val="•"/>
      <w:lvlJc w:val="left"/>
      <w:pPr>
        <w:tabs>
          <w:tab w:val="num" w:pos="3600"/>
        </w:tabs>
        <w:ind w:left="3600" w:hanging="360"/>
      </w:pPr>
      <w:rPr>
        <w:rFonts w:ascii="Arial" w:hAnsi="Arial" w:hint="default"/>
      </w:rPr>
    </w:lvl>
    <w:lvl w:ilvl="5" w:tplc="0E3210F4" w:tentative="1">
      <w:start w:val="1"/>
      <w:numFmt w:val="bullet"/>
      <w:lvlText w:val="•"/>
      <w:lvlJc w:val="left"/>
      <w:pPr>
        <w:tabs>
          <w:tab w:val="num" w:pos="4320"/>
        </w:tabs>
        <w:ind w:left="4320" w:hanging="360"/>
      </w:pPr>
      <w:rPr>
        <w:rFonts w:ascii="Arial" w:hAnsi="Arial" w:hint="default"/>
      </w:rPr>
    </w:lvl>
    <w:lvl w:ilvl="6" w:tplc="E12CE1FC" w:tentative="1">
      <w:start w:val="1"/>
      <w:numFmt w:val="bullet"/>
      <w:lvlText w:val="•"/>
      <w:lvlJc w:val="left"/>
      <w:pPr>
        <w:tabs>
          <w:tab w:val="num" w:pos="5040"/>
        </w:tabs>
        <w:ind w:left="5040" w:hanging="360"/>
      </w:pPr>
      <w:rPr>
        <w:rFonts w:ascii="Arial" w:hAnsi="Arial" w:hint="default"/>
      </w:rPr>
    </w:lvl>
    <w:lvl w:ilvl="7" w:tplc="3B06E2AE" w:tentative="1">
      <w:start w:val="1"/>
      <w:numFmt w:val="bullet"/>
      <w:lvlText w:val="•"/>
      <w:lvlJc w:val="left"/>
      <w:pPr>
        <w:tabs>
          <w:tab w:val="num" w:pos="5760"/>
        </w:tabs>
        <w:ind w:left="5760" w:hanging="360"/>
      </w:pPr>
      <w:rPr>
        <w:rFonts w:ascii="Arial" w:hAnsi="Arial" w:hint="default"/>
      </w:rPr>
    </w:lvl>
    <w:lvl w:ilvl="8" w:tplc="E0888462" w:tentative="1">
      <w:start w:val="1"/>
      <w:numFmt w:val="bullet"/>
      <w:lvlText w:val="•"/>
      <w:lvlJc w:val="left"/>
      <w:pPr>
        <w:tabs>
          <w:tab w:val="num" w:pos="6480"/>
        </w:tabs>
        <w:ind w:left="6480" w:hanging="360"/>
      </w:pPr>
      <w:rPr>
        <w:rFonts w:ascii="Arial" w:hAnsi="Arial" w:hint="default"/>
      </w:rPr>
    </w:lvl>
  </w:abstractNum>
  <w:abstractNum w:abstractNumId="28">
    <w:nsid w:val="479E3467"/>
    <w:multiLevelType w:val="hybridMultilevel"/>
    <w:tmpl w:val="0938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C3842F6"/>
    <w:multiLevelType w:val="hybridMultilevel"/>
    <w:tmpl w:val="0FCAFB24"/>
    <w:lvl w:ilvl="0" w:tplc="1B2E1442">
      <w:start w:val="1"/>
      <w:numFmt w:val="bullet"/>
      <w:lvlText w:val="•"/>
      <w:lvlJc w:val="left"/>
      <w:pPr>
        <w:tabs>
          <w:tab w:val="num" w:pos="720"/>
        </w:tabs>
        <w:ind w:left="720" w:hanging="360"/>
      </w:pPr>
      <w:rPr>
        <w:rFonts w:ascii="Arial" w:hAnsi="Arial" w:hint="default"/>
      </w:rPr>
    </w:lvl>
    <w:lvl w:ilvl="1" w:tplc="876A64D8" w:tentative="1">
      <w:start w:val="1"/>
      <w:numFmt w:val="bullet"/>
      <w:lvlText w:val="•"/>
      <w:lvlJc w:val="left"/>
      <w:pPr>
        <w:tabs>
          <w:tab w:val="num" w:pos="1440"/>
        </w:tabs>
        <w:ind w:left="1440" w:hanging="360"/>
      </w:pPr>
      <w:rPr>
        <w:rFonts w:ascii="Arial" w:hAnsi="Arial" w:hint="default"/>
      </w:rPr>
    </w:lvl>
    <w:lvl w:ilvl="2" w:tplc="378447C4" w:tentative="1">
      <w:start w:val="1"/>
      <w:numFmt w:val="bullet"/>
      <w:lvlText w:val="•"/>
      <w:lvlJc w:val="left"/>
      <w:pPr>
        <w:tabs>
          <w:tab w:val="num" w:pos="2160"/>
        </w:tabs>
        <w:ind w:left="2160" w:hanging="360"/>
      </w:pPr>
      <w:rPr>
        <w:rFonts w:ascii="Arial" w:hAnsi="Arial" w:hint="default"/>
      </w:rPr>
    </w:lvl>
    <w:lvl w:ilvl="3" w:tplc="894E0E38" w:tentative="1">
      <w:start w:val="1"/>
      <w:numFmt w:val="bullet"/>
      <w:lvlText w:val="•"/>
      <w:lvlJc w:val="left"/>
      <w:pPr>
        <w:tabs>
          <w:tab w:val="num" w:pos="2880"/>
        </w:tabs>
        <w:ind w:left="2880" w:hanging="360"/>
      </w:pPr>
      <w:rPr>
        <w:rFonts w:ascii="Arial" w:hAnsi="Arial" w:hint="default"/>
      </w:rPr>
    </w:lvl>
    <w:lvl w:ilvl="4" w:tplc="FC90AFD6" w:tentative="1">
      <w:start w:val="1"/>
      <w:numFmt w:val="bullet"/>
      <w:lvlText w:val="•"/>
      <w:lvlJc w:val="left"/>
      <w:pPr>
        <w:tabs>
          <w:tab w:val="num" w:pos="3600"/>
        </w:tabs>
        <w:ind w:left="3600" w:hanging="360"/>
      </w:pPr>
      <w:rPr>
        <w:rFonts w:ascii="Arial" w:hAnsi="Arial" w:hint="default"/>
      </w:rPr>
    </w:lvl>
    <w:lvl w:ilvl="5" w:tplc="55E22374" w:tentative="1">
      <w:start w:val="1"/>
      <w:numFmt w:val="bullet"/>
      <w:lvlText w:val="•"/>
      <w:lvlJc w:val="left"/>
      <w:pPr>
        <w:tabs>
          <w:tab w:val="num" w:pos="4320"/>
        </w:tabs>
        <w:ind w:left="4320" w:hanging="360"/>
      </w:pPr>
      <w:rPr>
        <w:rFonts w:ascii="Arial" w:hAnsi="Arial" w:hint="default"/>
      </w:rPr>
    </w:lvl>
    <w:lvl w:ilvl="6" w:tplc="92263262" w:tentative="1">
      <w:start w:val="1"/>
      <w:numFmt w:val="bullet"/>
      <w:lvlText w:val="•"/>
      <w:lvlJc w:val="left"/>
      <w:pPr>
        <w:tabs>
          <w:tab w:val="num" w:pos="5040"/>
        </w:tabs>
        <w:ind w:left="5040" w:hanging="360"/>
      </w:pPr>
      <w:rPr>
        <w:rFonts w:ascii="Arial" w:hAnsi="Arial" w:hint="default"/>
      </w:rPr>
    </w:lvl>
    <w:lvl w:ilvl="7" w:tplc="352E8296" w:tentative="1">
      <w:start w:val="1"/>
      <w:numFmt w:val="bullet"/>
      <w:lvlText w:val="•"/>
      <w:lvlJc w:val="left"/>
      <w:pPr>
        <w:tabs>
          <w:tab w:val="num" w:pos="5760"/>
        </w:tabs>
        <w:ind w:left="5760" w:hanging="360"/>
      </w:pPr>
      <w:rPr>
        <w:rFonts w:ascii="Arial" w:hAnsi="Arial" w:hint="default"/>
      </w:rPr>
    </w:lvl>
    <w:lvl w:ilvl="8" w:tplc="1BC6D8AA" w:tentative="1">
      <w:start w:val="1"/>
      <w:numFmt w:val="bullet"/>
      <w:lvlText w:val="•"/>
      <w:lvlJc w:val="left"/>
      <w:pPr>
        <w:tabs>
          <w:tab w:val="num" w:pos="6480"/>
        </w:tabs>
        <w:ind w:left="6480" w:hanging="360"/>
      </w:pPr>
      <w:rPr>
        <w:rFonts w:ascii="Arial" w:hAnsi="Arial" w:hint="default"/>
      </w:rPr>
    </w:lvl>
  </w:abstractNum>
  <w:abstractNum w:abstractNumId="30">
    <w:nsid w:val="50896CEB"/>
    <w:multiLevelType w:val="hybridMultilevel"/>
    <w:tmpl w:val="8F9CB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34A7AAC"/>
    <w:multiLevelType w:val="hybridMultilevel"/>
    <w:tmpl w:val="E6A60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62E67D6"/>
    <w:multiLevelType w:val="hybridMultilevel"/>
    <w:tmpl w:val="89980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C59099A"/>
    <w:multiLevelType w:val="hybridMultilevel"/>
    <w:tmpl w:val="FD1C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840779"/>
    <w:multiLevelType w:val="multilevel"/>
    <w:tmpl w:val="44782D52"/>
    <w:lvl w:ilvl="0">
      <w:start w:val="1"/>
      <w:numFmt w:val="decimal"/>
      <w:lvlText w:val="%1."/>
      <w:lvlJc w:val="left"/>
      <w:pPr>
        <w:ind w:left="360" w:hanging="360"/>
      </w:pPr>
      <w:rPr>
        <w:rFonts w:hint="default"/>
        <w:sz w:val="40"/>
        <w:szCs w:val="40"/>
      </w:rPr>
    </w:lvl>
    <w:lvl w:ilvl="1">
      <w:start w:val="1"/>
      <w:numFmt w:val="decimal"/>
      <w:lvlText w:val="%1.%2."/>
      <w:lvlJc w:val="left"/>
      <w:pPr>
        <w:ind w:left="1851" w:hanging="432"/>
      </w:pPr>
      <w:rPr>
        <w:rFonts w:hint="default"/>
        <w:sz w:val="32"/>
        <w:szCs w:val="32"/>
      </w:rPr>
    </w:lvl>
    <w:lvl w:ilvl="2">
      <w:start w:val="1"/>
      <w:numFmt w:val="decimal"/>
      <w:lvlText w:val="%1.%2.%3."/>
      <w:lvlJc w:val="left"/>
      <w:pPr>
        <w:ind w:left="1224" w:hanging="504"/>
      </w:pPr>
      <w:rPr>
        <w:rFonts w:hint="default"/>
        <w:b w:val="0"/>
        <w:color w:val="auto"/>
        <w:sz w:val="22"/>
        <w:szCs w:val="22"/>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E110A69"/>
    <w:multiLevelType w:val="hybridMultilevel"/>
    <w:tmpl w:val="1756A768"/>
    <w:lvl w:ilvl="0" w:tplc="BFB877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0206BC2"/>
    <w:multiLevelType w:val="hybridMultilevel"/>
    <w:tmpl w:val="70AAA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5C735AC"/>
    <w:multiLevelType w:val="hybridMultilevel"/>
    <w:tmpl w:val="A952195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8">
    <w:nsid w:val="75E05DA3"/>
    <w:multiLevelType w:val="hybridMultilevel"/>
    <w:tmpl w:val="1CCAB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AED3A47"/>
    <w:multiLevelType w:val="hybridMultilevel"/>
    <w:tmpl w:val="D700D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E776FBD"/>
    <w:multiLevelType w:val="multilevel"/>
    <w:tmpl w:val="65305D2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40"/>
  </w:num>
  <w:num w:numId="3">
    <w:abstractNumId w:val="22"/>
  </w:num>
  <w:num w:numId="4">
    <w:abstractNumId w:val="14"/>
  </w:num>
  <w:num w:numId="5">
    <w:abstractNumId w:val="6"/>
  </w:num>
  <w:num w:numId="6">
    <w:abstractNumId w:val="39"/>
  </w:num>
  <w:num w:numId="7">
    <w:abstractNumId w:val="25"/>
  </w:num>
  <w:num w:numId="8">
    <w:abstractNumId w:val="33"/>
  </w:num>
  <w:num w:numId="9">
    <w:abstractNumId w:val="32"/>
  </w:num>
  <w:num w:numId="10">
    <w:abstractNumId w:val="28"/>
  </w:num>
  <w:num w:numId="11">
    <w:abstractNumId w:val="12"/>
  </w:num>
  <w:num w:numId="12">
    <w:abstractNumId w:val="11"/>
  </w:num>
  <w:num w:numId="13">
    <w:abstractNumId w:val="26"/>
  </w:num>
  <w:num w:numId="14">
    <w:abstractNumId w:val="17"/>
  </w:num>
  <w:num w:numId="15">
    <w:abstractNumId w:val="8"/>
  </w:num>
  <w:num w:numId="16">
    <w:abstractNumId w:val="0"/>
  </w:num>
  <w:num w:numId="17">
    <w:abstractNumId w:val="34"/>
  </w:num>
  <w:num w:numId="18">
    <w:abstractNumId w:val="2"/>
  </w:num>
  <w:num w:numId="19">
    <w:abstractNumId w:val="1"/>
  </w:num>
  <w:num w:numId="20">
    <w:abstractNumId w:val="19"/>
  </w:num>
  <w:num w:numId="21">
    <w:abstractNumId w:val="24"/>
  </w:num>
  <w:num w:numId="22">
    <w:abstractNumId w:val="10"/>
  </w:num>
  <w:num w:numId="23">
    <w:abstractNumId w:val="27"/>
  </w:num>
  <w:num w:numId="24">
    <w:abstractNumId w:val="4"/>
  </w:num>
  <w:num w:numId="25">
    <w:abstractNumId w:val="15"/>
  </w:num>
  <w:num w:numId="26">
    <w:abstractNumId w:val="29"/>
  </w:num>
  <w:num w:numId="27">
    <w:abstractNumId w:val="5"/>
  </w:num>
  <w:num w:numId="28">
    <w:abstractNumId w:val="7"/>
  </w:num>
  <w:num w:numId="29">
    <w:abstractNumId w:val="35"/>
  </w:num>
  <w:num w:numId="30">
    <w:abstractNumId w:val="20"/>
  </w:num>
  <w:num w:numId="31">
    <w:abstractNumId w:val="13"/>
  </w:num>
  <w:num w:numId="32">
    <w:abstractNumId w:val="37"/>
  </w:num>
  <w:num w:numId="33">
    <w:abstractNumId w:val="38"/>
  </w:num>
  <w:num w:numId="34">
    <w:abstractNumId w:val="3"/>
  </w:num>
  <w:num w:numId="35">
    <w:abstractNumId w:val="30"/>
  </w:num>
  <w:num w:numId="36">
    <w:abstractNumId w:val="36"/>
  </w:num>
  <w:num w:numId="37">
    <w:abstractNumId w:val="18"/>
  </w:num>
  <w:num w:numId="38">
    <w:abstractNumId w:val="31"/>
  </w:num>
  <w:num w:numId="39">
    <w:abstractNumId w:val="9"/>
  </w:num>
  <w:num w:numId="40">
    <w:abstractNumId w:val="16"/>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77"/>
    <w:rsid w:val="00034F0E"/>
    <w:rsid w:val="000A3CE7"/>
    <w:rsid w:val="000B7962"/>
    <w:rsid w:val="00122A51"/>
    <w:rsid w:val="00170906"/>
    <w:rsid w:val="00195663"/>
    <w:rsid w:val="001E15D9"/>
    <w:rsid w:val="00202FBE"/>
    <w:rsid w:val="002678FF"/>
    <w:rsid w:val="00296D2D"/>
    <w:rsid w:val="002C7644"/>
    <w:rsid w:val="003209AF"/>
    <w:rsid w:val="003C34D4"/>
    <w:rsid w:val="003D189E"/>
    <w:rsid w:val="00431CC3"/>
    <w:rsid w:val="004D0F71"/>
    <w:rsid w:val="0050232D"/>
    <w:rsid w:val="00536C77"/>
    <w:rsid w:val="00564BEF"/>
    <w:rsid w:val="00570940"/>
    <w:rsid w:val="00586AC2"/>
    <w:rsid w:val="005C3073"/>
    <w:rsid w:val="005D1AA6"/>
    <w:rsid w:val="00607468"/>
    <w:rsid w:val="00691B66"/>
    <w:rsid w:val="00695057"/>
    <w:rsid w:val="00724558"/>
    <w:rsid w:val="00744164"/>
    <w:rsid w:val="00783CE4"/>
    <w:rsid w:val="0083002A"/>
    <w:rsid w:val="008315BB"/>
    <w:rsid w:val="00875A8A"/>
    <w:rsid w:val="009101CA"/>
    <w:rsid w:val="009B5F13"/>
    <w:rsid w:val="009C4B3B"/>
    <w:rsid w:val="00A15866"/>
    <w:rsid w:val="00A80AD0"/>
    <w:rsid w:val="00A93CE9"/>
    <w:rsid w:val="00B97B4A"/>
    <w:rsid w:val="00BF1CEA"/>
    <w:rsid w:val="00C12017"/>
    <w:rsid w:val="00C21D7C"/>
    <w:rsid w:val="00C60AEC"/>
    <w:rsid w:val="00C82AC3"/>
    <w:rsid w:val="00C9571C"/>
    <w:rsid w:val="00CE0FCC"/>
    <w:rsid w:val="00D5279A"/>
    <w:rsid w:val="00D95252"/>
    <w:rsid w:val="00E85314"/>
    <w:rsid w:val="00EB1AAD"/>
    <w:rsid w:val="00ED2FAE"/>
    <w:rsid w:val="00F23B47"/>
    <w:rsid w:val="00F60561"/>
    <w:rsid w:val="00F60B7A"/>
    <w:rsid w:val="00FC5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C7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6C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6C77"/>
    <w:rPr>
      <w:rFonts w:ascii="Arial" w:hAnsi="Arial"/>
      <w:sz w:val="20"/>
      <w:szCs w:val="20"/>
    </w:rPr>
  </w:style>
  <w:style w:type="character" w:styleId="FootnoteReference">
    <w:name w:val="footnote reference"/>
    <w:basedOn w:val="DefaultParagraphFont"/>
    <w:uiPriority w:val="99"/>
    <w:semiHidden/>
    <w:unhideWhenUsed/>
    <w:rsid w:val="00536C77"/>
    <w:rPr>
      <w:vertAlign w:val="superscript"/>
    </w:rPr>
  </w:style>
  <w:style w:type="table" w:styleId="TableGrid">
    <w:name w:val="Table Grid"/>
    <w:basedOn w:val="TableNormal"/>
    <w:uiPriority w:val="59"/>
    <w:rsid w:val="00536C77"/>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6C77"/>
    <w:pPr>
      <w:ind w:left="720"/>
      <w:contextualSpacing/>
    </w:pPr>
  </w:style>
  <w:style w:type="paragraph" w:styleId="Header">
    <w:name w:val="header"/>
    <w:basedOn w:val="Normal"/>
    <w:link w:val="HeaderChar"/>
    <w:uiPriority w:val="99"/>
    <w:unhideWhenUsed/>
    <w:rsid w:val="00536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C77"/>
    <w:rPr>
      <w:rFonts w:ascii="Arial" w:hAnsi="Arial"/>
    </w:rPr>
  </w:style>
  <w:style w:type="paragraph" w:styleId="Footer">
    <w:name w:val="footer"/>
    <w:basedOn w:val="Normal"/>
    <w:link w:val="FooterChar"/>
    <w:uiPriority w:val="99"/>
    <w:unhideWhenUsed/>
    <w:rsid w:val="00536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C77"/>
    <w:rPr>
      <w:rFonts w:ascii="Arial" w:hAnsi="Arial"/>
    </w:rPr>
  </w:style>
  <w:style w:type="character" w:styleId="Hyperlink">
    <w:name w:val="Hyperlink"/>
    <w:basedOn w:val="DefaultParagraphFont"/>
    <w:uiPriority w:val="99"/>
    <w:unhideWhenUsed/>
    <w:rsid w:val="00536C77"/>
    <w:rPr>
      <w:color w:val="0000FF" w:themeColor="hyperlink"/>
      <w:u w:val="single"/>
    </w:rPr>
  </w:style>
  <w:style w:type="character" w:customStyle="1" w:styleId="BalloonTextChar">
    <w:name w:val="Balloon Text Char"/>
    <w:basedOn w:val="DefaultParagraphFont"/>
    <w:link w:val="BalloonText"/>
    <w:uiPriority w:val="99"/>
    <w:semiHidden/>
    <w:rsid w:val="00536C77"/>
    <w:rPr>
      <w:rFonts w:ascii="Tahoma" w:hAnsi="Tahoma" w:cs="Tahoma"/>
      <w:sz w:val="16"/>
      <w:szCs w:val="16"/>
    </w:rPr>
  </w:style>
  <w:style w:type="paragraph" w:styleId="BalloonText">
    <w:name w:val="Balloon Text"/>
    <w:basedOn w:val="Normal"/>
    <w:link w:val="BalloonTextChar"/>
    <w:uiPriority w:val="99"/>
    <w:semiHidden/>
    <w:unhideWhenUsed/>
    <w:rsid w:val="00536C77"/>
    <w:pPr>
      <w:spacing w:after="0" w:line="240" w:lineRule="auto"/>
    </w:pPr>
    <w:rPr>
      <w:rFonts w:ascii="Tahoma" w:hAnsi="Tahoma" w:cs="Tahoma"/>
      <w:sz w:val="16"/>
      <w:szCs w:val="16"/>
    </w:rPr>
  </w:style>
  <w:style w:type="table" w:styleId="MediumShading1-Accent3">
    <w:name w:val="Medium Shading 1 Accent 3"/>
    <w:basedOn w:val="TableNormal"/>
    <w:uiPriority w:val="63"/>
    <w:rsid w:val="00536C77"/>
    <w:pPr>
      <w:spacing w:after="0" w:line="240" w:lineRule="auto"/>
    </w:pPr>
    <w:rPr>
      <w:rFonts w:ascii="Arial" w:hAnsi="Arial"/>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19566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C7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6C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6C77"/>
    <w:rPr>
      <w:rFonts w:ascii="Arial" w:hAnsi="Arial"/>
      <w:sz w:val="20"/>
      <w:szCs w:val="20"/>
    </w:rPr>
  </w:style>
  <w:style w:type="character" w:styleId="FootnoteReference">
    <w:name w:val="footnote reference"/>
    <w:basedOn w:val="DefaultParagraphFont"/>
    <w:uiPriority w:val="99"/>
    <w:semiHidden/>
    <w:unhideWhenUsed/>
    <w:rsid w:val="00536C77"/>
    <w:rPr>
      <w:vertAlign w:val="superscript"/>
    </w:rPr>
  </w:style>
  <w:style w:type="table" w:styleId="TableGrid">
    <w:name w:val="Table Grid"/>
    <w:basedOn w:val="TableNormal"/>
    <w:uiPriority w:val="59"/>
    <w:rsid w:val="00536C77"/>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6C77"/>
    <w:pPr>
      <w:ind w:left="720"/>
      <w:contextualSpacing/>
    </w:pPr>
  </w:style>
  <w:style w:type="paragraph" w:styleId="Header">
    <w:name w:val="header"/>
    <w:basedOn w:val="Normal"/>
    <w:link w:val="HeaderChar"/>
    <w:uiPriority w:val="99"/>
    <w:unhideWhenUsed/>
    <w:rsid w:val="00536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C77"/>
    <w:rPr>
      <w:rFonts w:ascii="Arial" w:hAnsi="Arial"/>
    </w:rPr>
  </w:style>
  <w:style w:type="paragraph" w:styleId="Footer">
    <w:name w:val="footer"/>
    <w:basedOn w:val="Normal"/>
    <w:link w:val="FooterChar"/>
    <w:uiPriority w:val="99"/>
    <w:unhideWhenUsed/>
    <w:rsid w:val="00536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C77"/>
    <w:rPr>
      <w:rFonts w:ascii="Arial" w:hAnsi="Arial"/>
    </w:rPr>
  </w:style>
  <w:style w:type="character" w:styleId="Hyperlink">
    <w:name w:val="Hyperlink"/>
    <w:basedOn w:val="DefaultParagraphFont"/>
    <w:uiPriority w:val="99"/>
    <w:unhideWhenUsed/>
    <w:rsid w:val="00536C77"/>
    <w:rPr>
      <w:color w:val="0000FF" w:themeColor="hyperlink"/>
      <w:u w:val="single"/>
    </w:rPr>
  </w:style>
  <w:style w:type="character" w:customStyle="1" w:styleId="BalloonTextChar">
    <w:name w:val="Balloon Text Char"/>
    <w:basedOn w:val="DefaultParagraphFont"/>
    <w:link w:val="BalloonText"/>
    <w:uiPriority w:val="99"/>
    <w:semiHidden/>
    <w:rsid w:val="00536C77"/>
    <w:rPr>
      <w:rFonts w:ascii="Tahoma" w:hAnsi="Tahoma" w:cs="Tahoma"/>
      <w:sz w:val="16"/>
      <w:szCs w:val="16"/>
    </w:rPr>
  </w:style>
  <w:style w:type="paragraph" w:styleId="BalloonText">
    <w:name w:val="Balloon Text"/>
    <w:basedOn w:val="Normal"/>
    <w:link w:val="BalloonTextChar"/>
    <w:uiPriority w:val="99"/>
    <w:semiHidden/>
    <w:unhideWhenUsed/>
    <w:rsid w:val="00536C77"/>
    <w:pPr>
      <w:spacing w:after="0" w:line="240" w:lineRule="auto"/>
    </w:pPr>
    <w:rPr>
      <w:rFonts w:ascii="Tahoma" w:hAnsi="Tahoma" w:cs="Tahoma"/>
      <w:sz w:val="16"/>
      <w:szCs w:val="16"/>
    </w:rPr>
  </w:style>
  <w:style w:type="table" w:styleId="MediumShading1-Accent3">
    <w:name w:val="Medium Shading 1 Accent 3"/>
    <w:basedOn w:val="TableNormal"/>
    <w:uiPriority w:val="63"/>
    <w:rsid w:val="00536C77"/>
    <w:pPr>
      <w:spacing w:after="0" w:line="240" w:lineRule="auto"/>
    </w:pPr>
    <w:rPr>
      <w:rFonts w:ascii="Arial" w:hAnsi="Arial"/>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19566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088695">
      <w:bodyDiv w:val="1"/>
      <w:marLeft w:val="0"/>
      <w:marRight w:val="0"/>
      <w:marTop w:val="0"/>
      <w:marBottom w:val="0"/>
      <w:divBdr>
        <w:top w:val="none" w:sz="0" w:space="0" w:color="auto"/>
        <w:left w:val="none" w:sz="0" w:space="0" w:color="auto"/>
        <w:bottom w:val="none" w:sz="0" w:space="0" w:color="auto"/>
        <w:right w:val="none" w:sz="0" w:space="0" w:color="auto"/>
      </w:divBdr>
      <w:divsChild>
        <w:div w:id="1062483180">
          <w:marLeft w:val="0"/>
          <w:marRight w:val="0"/>
          <w:marTop w:val="0"/>
          <w:marBottom w:val="0"/>
          <w:divBdr>
            <w:top w:val="none" w:sz="0" w:space="0" w:color="auto"/>
            <w:left w:val="none" w:sz="0" w:space="0" w:color="auto"/>
            <w:bottom w:val="none" w:sz="0" w:space="0" w:color="auto"/>
            <w:right w:val="none" w:sz="0" w:space="0" w:color="auto"/>
          </w:divBdr>
          <w:divsChild>
            <w:div w:id="782186828">
              <w:marLeft w:val="0"/>
              <w:marRight w:val="0"/>
              <w:marTop w:val="0"/>
              <w:marBottom w:val="0"/>
              <w:divBdr>
                <w:top w:val="none" w:sz="0" w:space="0" w:color="auto"/>
                <w:left w:val="none" w:sz="0" w:space="0" w:color="auto"/>
                <w:bottom w:val="none" w:sz="0" w:space="0" w:color="auto"/>
                <w:right w:val="none" w:sz="0" w:space="0" w:color="auto"/>
              </w:divBdr>
              <w:divsChild>
                <w:div w:id="1958371386">
                  <w:marLeft w:val="0"/>
                  <w:marRight w:val="0"/>
                  <w:marTop w:val="0"/>
                  <w:marBottom w:val="0"/>
                  <w:divBdr>
                    <w:top w:val="none" w:sz="0" w:space="0" w:color="auto"/>
                    <w:left w:val="none" w:sz="0" w:space="0" w:color="auto"/>
                    <w:bottom w:val="none" w:sz="0" w:space="0" w:color="auto"/>
                    <w:right w:val="none" w:sz="0" w:space="0" w:color="auto"/>
                  </w:divBdr>
                  <w:divsChild>
                    <w:div w:id="715012520">
                      <w:marLeft w:val="225"/>
                      <w:marRight w:val="0"/>
                      <w:marTop w:val="0"/>
                      <w:marBottom w:val="0"/>
                      <w:divBdr>
                        <w:top w:val="none" w:sz="0" w:space="0" w:color="auto"/>
                        <w:left w:val="none" w:sz="0" w:space="0" w:color="auto"/>
                        <w:bottom w:val="none" w:sz="0" w:space="0" w:color="auto"/>
                        <w:right w:val="none" w:sz="0" w:space="0" w:color="auto"/>
                      </w:divBdr>
                      <w:divsChild>
                        <w:div w:id="12972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94179">
      <w:bodyDiv w:val="1"/>
      <w:marLeft w:val="0"/>
      <w:marRight w:val="0"/>
      <w:marTop w:val="0"/>
      <w:marBottom w:val="0"/>
      <w:divBdr>
        <w:top w:val="none" w:sz="0" w:space="0" w:color="auto"/>
        <w:left w:val="none" w:sz="0" w:space="0" w:color="auto"/>
        <w:bottom w:val="none" w:sz="0" w:space="0" w:color="auto"/>
        <w:right w:val="none" w:sz="0" w:space="0" w:color="auto"/>
      </w:divBdr>
      <w:divsChild>
        <w:div w:id="1338463571">
          <w:marLeft w:val="0"/>
          <w:marRight w:val="0"/>
          <w:marTop w:val="0"/>
          <w:marBottom w:val="0"/>
          <w:divBdr>
            <w:top w:val="none" w:sz="0" w:space="0" w:color="auto"/>
            <w:left w:val="none" w:sz="0" w:space="0" w:color="auto"/>
            <w:bottom w:val="none" w:sz="0" w:space="0" w:color="auto"/>
            <w:right w:val="none" w:sz="0" w:space="0" w:color="auto"/>
          </w:divBdr>
          <w:divsChild>
            <w:div w:id="1646082147">
              <w:marLeft w:val="0"/>
              <w:marRight w:val="0"/>
              <w:marTop w:val="0"/>
              <w:marBottom w:val="0"/>
              <w:divBdr>
                <w:top w:val="none" w:sz="0" w:space="0" w:color="auto"/>
                <w:left w:val="none" w:sz="0" w:space="0" w:color="auto"/>
                <w:bottom w:val="none" w:sz="0" w:space="0" w:color="auto"/>
                <w:right w:val="none" w:sz="0" w:space="0" w:color="auto"/>
              </w:divBdr>
              <w:divsChild>
                <w:div w:id="266469385">
                  <w:marLeft w:val="0"/>
                  <w:marRight w:val="0"/>
                  <w:marTop w:val="0"/>
                  <w:marBottom w:val="0"/>
                  <w:divBdr>
                    <w:top w:val="none" w:sz="0" w:space="0" w:color="auto"/>
                    <w:left w:val="none" w:sz="0" w:space="0" w:color="auto"/>
                    <w:bottom w:val="none" w:sz="0" w:space="0" w:color="auto"/>
                    <w:right w:val="none" w:sz="0" w:space="0" w:color="auto"/>
                  </w:divBdr>
                  <w:divsChild>
                    <w:div w:id="1283075042">
                      <w:marLeft w:val="0"/>
                      <w:marRight w:val="0"/>
                      <w:marTop w:val="0"/>
                      <w:marBottom w:val="0"/>
                      <w:divBdr>
                        <w:top w:val="none" w:sz="0" w:space="0" w:color="auto"/>
                        <w:left w:val="none" w:sz="0" w:space="0" w:color="auto"/>
                        <w:bottom w:val="none" w:sz="0" w:space="0" w:color="auto"/>
                        <w:right w:val="none" w:sz="0" w:space="0" w:color="auto"/>
                      </w:divBdr>
                      <w:divsChild>
                        <w:div w:id="16225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ics.org/uk/knowledge/professional-guidance/professional-statements/rics-property-measurement-1st-edi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odgov.southsomerset.gov.uk/ieListDocuments.aspx?CId=137&amp;MId=1805&amp;Ve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297F0-1FFC-4FAA-9390-821AF76D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3086</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SSDC</Company>
  <LinksUpToDate>false</LinksUpToDate>
  <CharactersWithSpaces>20641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Wheatley</dc:creator>
  <cp:lastModifiedBy>Charlotte Fry</cp:lastModifiedBy>
  <cp:revision>4</cp:revision>
  <dcterms:created xsi:type="dcterms:W3CDTF">2017-01-31T17:17:00Z</dcterms:created>
  <dcterms:modified xsi:type="dcterms:W3CDTF">2017-02-01T12:24:00Z</dcterms:modified>
</cp:coreProperties>
</file>