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41" w:rsidRDefault="000F5C41" w:rsidP="00583EFA">
      <w:pPr>
        <w:pStyle w:val="Title"/>
        <w:spacing w:after="240"/>
        <w:rPr>
          <w:rFonts w:ascii="Arial" w:hAnsi="Arial" w:cs="Arial"/>
          <w:color w:val="76923C" w:themeColor="accent3" w:themeShade="BF"/>
        </w:rPr>
      </w:pPr>
      <w:r>
        <w:rPr>
          <w:rFonts w:ascii="Arial" w:hAnsi="Arial" w:cs="Arial"/>
          <w:color w:val="76923C" w:themeColor="accent3" w:themeShade="BF"/>
        </w:rPr>
        <w:t>South Somerset</w:t>
      </w:r>
    </w:p>
    <w:p w:rsidR="000F5C41" w:rsidRDefault="000F5C41" w:rsidP="00583EFA">
      <w:pPr>
        <w:pStyle w:val="Title"/>
        <w:spacing w:after="240"/>
        <w:rPr>
          <w:rFonts w:ascii="Arial" w:hAnsi="Arial" w:cs="Arial"/>
          <w:color w:val="76923C" w:themeColor="accent3" w:themeShade="BF"/>
        </w:rPr>
      </w:pPr>
    </w:p>
    <w:p w:rsidR="000F5C41" w:rsidRDefault="000F5C41" w:rsidP="00583EFA">
      <w:pPr>
        <w:pStyle w:val="Title"/>
        <w:spacing w:after="240"/>
        <w:rPr>
          <w:rFonts w:ascii="Arial" w:hAnsi="Arial" w:cs="Arial"/>
          <w:color w:val="76923C" w:themeColor="accent3" w:themeShade="BF"/>
        </w:rPr>
      </w:pPr>
      <w:r>
        <w:rPr>
          <w:rFonts w:ascii="Arial" w:hAnsi="Arial" w:cs="Arial"/>
          <w:color w:val="76923C" w:themeColor="accent3" w:themeShade="BF"/>
        </w:rPr>
        <w:t>Community Infrastructure Levy</w:t>
      </w:r>
    </w:p>
    <w:p w:rsidR="000F5C41" w:rsidRDefault="000F5C41" w:rsidP="00583EFA">
      <w:pPr>
        <w:pStyle w:val="Title"/>
        <w:spacing w:after="240"/>
        <w:rPr>
          <w:rFonts w:ascii="Arial" w:hAnsi="Arial" w:cs="Arial"/>
          <w:color w:val="76923C" w:themeColor="accent3" w:themeShade="BF"/>
        </w:rPr>
      </w:pPr>
    </w:p>
    <w:p w:rsidR="000F5C41" w:rsidRDefault="00156AF4" w:rsidP="00583EFA">
      <w:pPr>
        <w:pStyle w:val="Title"/>
        <w:spacing w:after="240"/>
        <w:rPr>
          <w:rFonts w:ascii="Arial" w:hAnsi="Arial" w:cs="Arial"/>
          <w:color w:val="76923C" w:themeColor="accent3" w:themeShade="BF"/>
        </w:rPr>
      </w:pPr>
      <w:r w:rsidRPr="00D907FA">
        <w:rPr>
          <w:rFonts w:ascii="Arial" w:hAnsi="Arial" w:cs="Arial"/>
          <w:color w:val="76923C" w:themeColor="accent3" w:themeShade="BF"/>
        </w:rPr>
        <w:t>Charging Schedule</w:t>
      </w:r>
      <w:r w:rsidR="001A5E17">
        <w:rPr>
          <w:rFonts w:ascii="Arial" w:hAnsi="Arial" w:cs="Arial"/>
          <w:color w:val="76923C" w:themeColor="accent3" w:themeShade="BF"/>
        </w:rPr>
        <w:t xml:space="preserve"> </w:t>
      </w:r>
    </w:p>
    <w:p w:rsidR="000F5C41" w:rsidRDefault="000F5C41" w:rsidP="00583EFA">
      <w:pPr>
        <w:pStyle w:val="Title"/>
        <w:spacing w:after="240"/>
        <w:rPr>
          <w:rFonts w:ascii="Arial" w:hAnsi="Arial" w:cs="Arial"/>
          <w:color w:val="76923C" w:themeColor="accent3" w:themeShade="BF"/>
        </w:rPr>
      </w:pPr>
    </w:p>
    <w:p w:rsidR="00EE7699" w:rsidRPr="00D907FA" w:rsidRDefault="0087309F" w:rsidP="00583EFA">
      <w:pPr>
        <w:pStyle w:val="Title"/>
        <w:spacing w:after="240"/>
        <w:rPr>
          <w:rFonts w:ascii="Arial" w:hAnsi="Arial" w:cs="Arial"/>
          <w:color w:val="76923C" w:themeColor="accent3" w:themeShade="BF"/>
        </w:rPr>
      </w:pPr>
      <w:r>
        <w:rPr>
          <w:rFonts w:ascii="Arial" w:hAnsi="Arial" w:cs="Arial"/>
          <w:color w:val="76923C" w:themeColor="accent3" w:themeShade="BF"/>
        </w:rPr>
        <w:t xml:space="preserve">Approval </w:t>
      </w:r>
      <w:r w:rsidR="004D519C">
        <w:rPr>
          <w:rFonts w:ascii="Arial" w:hAnsi="Arial" w:cs="Arial"/>
          <w:color w:val="76923C" w:themeColor="accent3" w:themeShade="BF"/>
        </w:rPr>
        <w:t>Version</w:t>
      </w:r>
    </w:p>
    <w:p w:rsidR="009656C0" w:rsidRDefault="009656C0"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E91F8B" w:rsidRPr="009656C0" w:rsidRDefault="00DC5549" w:rsidP="009656C0">
      <w:pPr>
        <w:jc w:val="right"/>
        <w:rPr>
          <w:b/>
          <w:sz w:val="28"/>
        </w:rPr>
      </w:pPr>
      <w:r>
        <w:rPr>
          <w:b/>
          <w:sz w:val="28"/>
        </w:rPr>
        <w:t>November</w:t>
      </w:r>
      <w:r w:rsidR="00671CAF" w:rsidRPr="009656C0">
        <w:rPr>
          <w:b/>
          <w:sz w:val="28"/>
        </w:rPr>
        <w:t xml:space="preserve"> 2016</w:t>
      </w:r>
    </w:p>
    <w:p w:rsidR="00E91F8B" w:rsidRDefault="00E91F8B" w:rsidP="00E91F8B"/>
    <w:p w:rsidR="00E91F8B" w:rsidRDefault="00E91F8B" w:rsidP="00E91F8B"/>
    <w:p w:rsidR="00E91F8B" w:rsidRDefault="00E91F8B" w:rsidP="00E91F8B"/>
    <w:p w:rsidR="00E91F8B" w:rsidRDefault="00E91F8B" w:rsidP="00E91F8B"/>
    <w:p w:rsidR="00E91F8B" w:rsidRDefault="00E91F8B" w:rsidP="00E91F8B"/>
    <w:p w:rsidR="00E91F8B" w:rsidRDefault="00E91F8B" w:rsidP="00E91F8B"/>
    <w:p w:rsidR="000F5C41" w:rsidRDefault="000F5C41" w:rsidP="00E91F8B">
      <w:pPr>
        <w:sectPr w:rsidR="000F5C41" w:rsidSect="007C15E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pgNumType w:fmt="lowerRoman" w:start="1"/>
          <w:cols w:space="708"/>
          <w:docGrid w:linePitch="360"/>
        </w:sectPr>
      </w:pPr>
    </w:p>
    <w:p w:rsidR="00C037FC" w:rsidRPr="00D907FA" w:rsidRDefault="00E23075" w:rsidP="0087309F">
      <w:pPr>
        <w:pStyle w:val="Heading1"/>
        <w:numPr>
          <w:ilvl w:val="0"/>
          <w:numId w:val="1"/>
        </w:numPr>
        <w:spacing w:before="120" w:after="120"/>
        <w:ind w:left="357" w:hanging="357"/>
        <w:rPr>
          <w:rFonts w:ascii="Arial" w:hAnsi="Arial" w:cs="Arial"/>
          <w:color w:val="76923C" w:themeColor="accent3" w:themeShade="BF"/>
        </w:rPr>
      </w:pPr>
      <w:r w:rsidRPr="00D907FA">
        <w:rPr>
          <w:rFonts w:ascii="Arial" w:hAnsi="Arial" w:cs="Arial"/>
          <w:color w:val="76923C" w:themeColor="accent3" w:themeShade="BF"/>
        </w:rPr>
        <w:lastRenderedPageBreak/>
        <w:t>Introduction</w:t>
      </w:r>
    </w:p>
    <w:p w:rsidR="00DC1ED4" w:rsidRDefault="00156AF4" w:rsidP="00A90DAA">
      <w:pPr>
        <w:pStyle w:val="ListParagraph"/>
        <w:numPr>
          <w:ilvl w:val="1"/>
          <w:numId w:val="1"/>
        </w:numPr>
        <w:spacing w:before="120" w:after="120"/>
        <w:ind w:left="567" w:hanging="567"/>
        <w:rPr>
          <w:rFonts w:cs="Arial"/>
        </w:rPr>
      </w:pPr>
      <w:r w:rsidRPr="00D907FA">
        <w:rPr>
          <w:rFonts w:cs="Arial"/>
        </w:rPr>
        <w:t xml:space="preserve">This document </w:t>
      </w:r>
      <w:r w:rsidR="00DC5549">
        <w:rPr>
          <w:rFonts w:cs="Arial"/>
        </w:rPr>
        <w:t xml:space="preserve">sets out </w:t>
      </w:r>
      <w:r w:rsidRPr="00D907FA">
        <w:rPr>
          <w:rFonts w:cs="Arial"/>
        </w:rPr>
        <w:t>South Somerset District Council</w:t>
      </w:r>
      <w:r w:rsidR="00DC5549">
        <w:rPr>
          <w:rFonts w:cs="Arial"/>
        </w:rPr>
        <w:t xml:space="preserve">’s </w:t>
      </w:r>
      <w:r w:rsidRPr="00D907FA">
        <w:rPr>
          <w:rFonts w:cs="Arial"/>
        </w:rPr>
        <w:t xml:space="preserve">Community Infrastructure Levy (CIL) </w:t>
      </w:r>
      <w:r w:rsidR="00DC5549">
        <w:rPr>
          <w:rFonts w:cs="Arial"/>
        </w:rPr>
        <w:t xml:space="preserve">for the district. </w:t>
      </w:r>
      <w:r w:rsidR="00DC1ED4">
        <w:rPr>
          <w:rFonts w:cs="Arial"/>
        </w:rPr>
        <w:t xml:space="preserve">The </w:t>
      </w:r>
      <w:r w:rsidR="00DC5549">
        <w:rPr>
          <w:rFonts w:cs="Arial"/>
        </w:rPr>
        <w:t xml:space="preserve">Charging Schedule </w:t>
      </w:r>
      <w:r w:rsidR="00DC1ED4">
        <w:rPr>
          <w:rFonts w:cs="Arial"/>
        </w:rPr>
        <w:t xml:space="preserve">which will operate in South Somerset is defined in </w:t>
      </w:r>
      <w:r w:rsidR="00906C26">
        <w:rPr>
          <w:rFonts w:cs="Arial"/>
        </w:rPr>
        <w:t xml:space="preserve">Table 3.1 in </w:t>
      </w:r>
      <w:r w:rsidR="006C11A2">
        <w:rPr>
          <w:rFonts w:cs="Arial"/>
        </w:rPr>
        <w:t>Chapter 3</w:t>
      </w:r>
      <w:r w:rsidR="00DC1ED4">
        <w:rPr>
          <w:rFonts w:cs="Arial"/>
        </w:rPr>
        <w:t>.</w:t>
      </w:r>
    </w:p>
    <w:p w:rsidR="00DC1ED4" w:rsidRPr="00F05BA8" w:rsidRDefault="00DC1ED4" w:rsidP="00A90DAA">
      <w:pPr>
        <w:pStyle w:val="ListParagraph"/>
        <w:numPr>
          <w:ilvl w:val="1"/>
          <w:numId w:val="1"/>
        </w:numPr>
        <w:spacing w:before="120" w:after="120"/>
        <w:ind w:left="567" w:hanging="567"/>
        <w:rPr>
          <w:rFonts w:cs="Arial"/>
        </w:rPr>
      </w:pPr>
      <w:r w:rsidRPr="00DC1ED4">
        <w:rPr>
          <w:rFonts w:cs="Arial"/>
        </w:rPr>
        <w:t xml:space="preserve">South Somerset </w:t>
      </w:r>
      <w:r w:rsidR="003D5D8B">
        <w:rPr>
          <w:rFonts w:cs="Arial"/>
        </w:rPr>
        <w:t>approved</w:t>
      </w:r>
      <w:r w:rsidRPr="00DC1ED4">
        <w:rPr>
          <w:rFonts w:cs="Arial"/>
        </w:rPr>
        <w:t xml:space="preserve"> the Charging Schedule on the </w:t>
      </w:r>
      <w:r w:rsidR="003D5D8B">
        <w:rPr>
          <w:rFonts w:cs="Arial"/>
        </w:rPr>
        <w:t>17th</w:t>
      </w:r>
      <w:r w:rsidR="00905FE7">
        <w:rPr>
          <w:rFonts w:cs="Arial"/>
        </w:rPr>
        <w:t xml:space="preserve"> November</w:t>
      </w:r>
      <w:r w:rsidRPr="00F05BA8">
        <w:rPr>
          <w:rFonts w:cs="Arial"/>
        </w:rPr>
        <w:t xml:space="preserve"> 2016 in accordance with Regulation 25 of the Community Infrastructure Levy Regulations 2010 (as amended); and Section 213 of the </w:t>
      </w:r>
      <w:proofErr w:type="spellStart"/>
      <w:r w:rsidRPr="00F05BA8">
        <w:rPr>
          <w:rFonts w:cs="Arial"/>
        </w:rPr>
        <w:t>Planing</w:t>
      </w:r>
      <w:proofErr w:type="spellEnd"/>
      <w:r w:rsidRPr="00F05BA8">
        <w:rPr>
          <w:rFonts w:cs="Arial"/>
        </w:rPr>
        <w:t xml:space="preserve"> Act 2008.</w:t>
      </w:r>
    </w:p>
    <w:p w:rsidR="0087309F" w:rsidRDefault="00BD0526" w:rsidP="0087309F">
      <w:pPr>
        <w:pStyle w:val="ListParagraph"/>
        <w:numPr>
          <w:ilvl w:val="1"/>
          <w:numId w:val="1"/>
        </w:numPr>
        <w:spacing w:before="120" w:after="120"/>
        <w:ind w:left="567" w:hanging="567"/>
        <w:rPr>
          <w:rFonts w:cs="Arial"/>
        </w:rPr>
      </w:pPr>
      <w:r>
        <w:rPr>
          <w:rFonts w:cs="Arial"/>
        </w:rPr>
        <w:t xml:space="preserve">Under the terms of Regulation 28 </w:t>
      </w:r>
      <w:r w:rsidRPr="00F05BA8">
        <w:rPr>
          <w:rFonts w:cs="Arial"/>
        </w:rPr>
        <w:t>of the Community Infrastructure Levy Regulations 2010 (as amended)</w:t>
      </w:r>
      <w:r>
        <w:rPr>
          <w:rFonts w:cs="Arial"/>
        </w:rPr>
        <w:t xml:space="preserve"> t</w:t>
      </w:r>
      <w:r w:rsidR="00DC1ED4" w:rsidRPr="00DC1ED4">
        <w:rPr>
          <w:rFonts w:cs="Arial"/>
        </w:rPr>
        <w:t xml:space="preserve">he Charging Schedule will be brought into effect on the </w:t>
      </w:r>
      <w:r w:rsidR="003D5D8B">
        <w:rPr>
          <w:rFonts w:cs="Arial"/>
        </w:rPr>
        <w:t>Monday 3</w:t>
      </w:r>
      <w:r w:rsidR="003D5D8B" w:rsidRPr="00BD0526">
        <w:rPr>
          <w:rFonts w:cs="Arial"/>
          <w:vertAlign w:val="superscript"/>
        </w:rPr>
        <w:t>rd</w:t>
      </w:r>
      <w:r w:rsidR="003D5D8B" w:rsidRPr="00DC1ED4">
        <w:rPr>
          <w:rFonts w:cs="Arial"/>
        </w:rPr>
        <w:t xml:space="preserve"> </w:t>
      </w:r>
      <w:r w:rsidR="00DC1ED4" w:rsidRPr="00DC1ED4">
        <w:rPr>
          <w:rFonts w:cs="Arial"/>
        </w:rPr>
        <w:t>April 2017.</w:t>
      </w:r>
    </w:p>
    <w:p w:rsidR="0087309F" w:rsidRPr="0087309F" w:rsidRDefault="0087309F" w:rsidP="0087309F">
      <w:pPr>
        <w:pStyle w:val="ListParagraph"/>
        <w:numPr>
          <w:ilvl w:val="1"/>
          <w:numId w:val="1"/>
        </w:numPr>
        <w:spacing w:before="120" w:after="120"/>
        <w:ind w:left="567" w:hanging="567"/>
        <w:rPr>
          <w:rFonts w:cs="Arial"/>
        </w:rPr>
      </w:pPr>
      <w:r w:rsidRPr="0087309F">
        <w:rPr>
          <w:rFonts w:cs="Arial"/>
        </w:rPr>
        <w:t xml:space="preserve">The Charging Schedule will be accompanied by an Instalments Policy and the Regulation 123 List. These are available as separate documents on the Council’s Community Infrastructure Levy webpage: </w:t>
      </w:r>
      <w:hyperlink r:id="rId15" w:history="1">
        <w:r w:rsidRPr="0087309F">
          <w:rPr>
            <w:rStyle w:val="Hyperlink"/>
            <w:rFonts w:cs="Arial"/>
          </w:rPr>
          <w:t>http://www.southsomerset.gov.uk/planning-and-building-control/planning-policy/community-infrastructure-levy/</w:t>
        </w:r>
      </w:hyperlink>
    </w:p>
    <w:p w:rsidR="00DC1ED4" w:rsidRDefault="00DC1ED4" w:rsidP="00DC1ED4">
      <w:pPr>
        <w:pStyle w:val="Heading1"/>
        <w:numPr>
          <w:ilvl w:val="0"/>
          <w:numId w:val="1"/>
        </w:numPr>
        <w:spacing w:before="360" w:after="120"/>
        <w:rPr>
          <w:rFonts w:ascii="Arial" w:hAnsi="Arial" w:cs="Arial"/>
          <w:color w:val="76923C" w:themeColor="accent3" w:themeShade="BF"/>
        </w:rPr>
      </w:pPr>
      <w:r>
        <w:rPr>
          <w:rFonts w:ascii="Arial" w:hAnsi="Arial" w:cs="Arial"/>
          <w:color w:val="76923C" w:themeColor="accent3" w:themeShade="BF"/>
        </w:rPr>
        <w:t>Background</w:t>
      </w:r>
    </w:p>
    <w:p w:rsidR="00AB37E5" w:rsidRPr="006C11A2" w:rsidRDefault="003541EE" w:rsidP="00A90DAA">
      <w:pPr>
        <w:pStyle w:val="ListParagraph"/>
        <w:numPr>
          <w:ilvl w:val="1"/>
          <w:numId w:val="1"/>
        </w:numPr>
        <w:spacing w:before="120" w:after="120"/>
        <w:ind w:left="567" w:hanging="567"/>
        <w:rPr>
          <w:rFonts w:cs="Arial"/>
        </w:rPr>
      </w:pPr>
      <w:r w:rsidRPr="006C11A2">
        <w:rPr>
          <w:rFonts w:cs="Arial"/>
        </w:rPr>
        <w:t>CIL is a fixed levy that Councils can charge on new developments to fund infrastructure needed to support development.</w:t>
      </w:r>
      <w:r w:rsidR="006C11A2">
        <w:rPr>
          <w:rFonts w:cs="Arial"/>
        </w:rPr>
        <w:t xml:space="preserve"> </w:t>
      </w:r>
      <w:r w:rsidRPr="006C11A2">
        <w:rPr>
          <w:rFonts w:cs="Arial"/>
        </w:rPr>
        <w:t>Government introduced</w:t>
      </w:r>
      <w:r w:rsidR="00156AF4" w:rsidRPr="006C11A2">
        <w:rPr>
          <w:rFonts w:cs="Arial"/>
        </w:rPr>
        <w:t xml:space="preserve"> CIL </w:t>
      </w:r>
      <w:r w:rsidRPr="006C11A2">
        <w:rPr>
          <w:rFonts w:cs="Arial"/>
        </w:rPr>
        <w:t>in</w:t>
      </w:r>
      <w:r w:rsidR="00156AF4" w:rsidRPr="006C11A2">
        <w:rPr>
          <w:rFonts w:cs="Arial"/>
        </w:rPr>
        <w:t xml:space="preserve"> the Planning Act 2008</w:t>
      </w:r>
      <w:r w:rsidRPr="006C11A2">
        <w:rPr>
          <w:rFonts w:cs="Arial"/>
        </w:rPr>
        <w:t>.  Detail on the CIL regime was subsequently set out in the</w:t>
      </w:r>
      <w:r w:rsidR="002F2125" w:rsidRPr="006C11A2">
        <w:rPr>
          <w:rFonts w:cs="Arial"/>
        </w:rPr>
        <w:t xml:space="preserve"> CIL Regulations 2010 (as amended)</w:t>
      </w:r>
      <w:r w:rsidR="00937305">
        <w:rPr>
          <w:rStyle w:val="FootnoteReference"/>
          <w:rFonts w:cs="Arial"/>
        </w:rPr>
        <w:footnoteReference w:id="1"/>
      </w:r>
      <w:r w:rsidR="002F2125" w:rsidRPr="006C11A2">
        <w:rPr>
          <w:rFonts w:cs="Arial"/>
        </w:rPr>
        <w:t>.</w:t>
      </w:r>
      <w:r w:rsidR="003A5C84" w:rsidRPr="006C11A2">
        <w:rPr>
          <w:rFonts w:cs="Arial"/>
        </w:rPr>
        <w:t xml:space="preserve">  The Government ha</w:t>
      </w:r>
      <w:r w:rsidR="00937305" w:rsidRPr="006C11A2">
        <w:rPr>
          <w:rFonts w:cs="Arial"/>
        </w:rPr>
        <w:t>s</w:t>
      </w:r>
      <w:r w:rsidR="003A5C84" w:rsidRPr="006C11A2">
        <w:rPr>
          <w:rFonts w:cs="Arial"/>
        </w:rPr>
        <w:t xml:space="preserve"> also published guidance on the operation of CIL</w:t>
      </w:r>
      <w:r w:rsidR="003A5C84">
        <w:rPr>
          <w:rStyle w:val="FootnoteReference"/>
          <w:rFonts w:cs="Arial"/>
        </w:rPr>
        <w:footnoteReference w:id="2"/>
      </w:r>
      <w:r w:rsidR="00937305" w:rsidRPr="006C11A2">
        <w:rPr>
          <w:rFonts w:cs="Arial"/>
        </w:rPr>
        <w:t>.</w:t>
      </w:r>
    </w:p>
    <w:p w:rsidR="00906C26" w:rsidRDefault="006D679C" w:rsidP="00A90DAA">
      <w:pPr>
        <w:pStyle w:val="ListParagraph"/>
        <w:numPr>
          <w:ilvl w:val="1"/>
          <w:numId w:val="1"/>
        </w:numPr>
        <w:spacing w:before="120" w:after="120"/>
        <w:ind w:left="567" w:hanging="567"/>
        <w:rPr>
          <w:rFonts w:cs="Arial"/>
        </w:rPr>
      </w:pPr>
      <w:r>
        <w:rPr>
          <w:rFonts w:cs="Arial"/>
        </w:rPr>
        <w:t xml:space="preserve">Approval of </w:t>
      </w:r>
      <w:r w:rsidR="00906C26">
        <w:rPr>
          <w:rFonts w:cs="Arial"/>
        </w:rPr>
        <w:t xml:space="preserve">the </w:t>
      </w:r>
      <w:r w:rsidR="00EB1FAD">
        <w:rPr>
          <w:rFonts w:cs="Arial"/>
        </w:rPr>
        <w:t>Charging Schedule</w:t>
      </w:r>
      <w:r w:rsidR="00906C26">
        <w:rPr>
          <w:rFonts w:cs="Arial"/>
        </w:rPr>
        <w:t xml:space="preserve"> (</w:t>
      </w:r>
      <w:r w:rsidR="00252E5E">
        <w:rPr>
          <w:rFonts w:cs="Arial"/>
        </w:rPr>
        <w:t>CS)</w:t>
      </w:r>
      <w:r w:rsidR="00280F20">
        <w:rPr>
          <w:rFonts w:cs="Arial"/>
        </w:rPr>
        <w:t xml:space="preserve"> </w:t>
      </w:r>
      <w:r w:rsidR="00B9769B">
        <w:rPr>
          <w:rFonts w:cs="Arial"/>
        </w:rPr>
        <w:t>represents</w:t>
      </w:r>
      <w:r w:rsidR="007B64DC">
        <w:rPr>
          <w:rFonts w:cs="Arial"/>
        </w:rPr>
        <w:t xml:space="preserve"> the </w:t>
      </w:r>
      <w:r w:rsidR="00906C26">
        <w:rPr>
          <w:rFonts w:cs="Arial"/>
        </w:rPr>
        <w:t>penultimate</w:t>
      </w:r>
      <w:r w:rsidR="007B64DC">
        <w:rPr>
          <w:rFonts w:cs="Arial"/>
        </w:rPr>
        <w:t xml:space="preserve"> stage</w:t>
      </w:r>
      <w:r w:rsidR="00AB1AD7">
        <w:rPr>
          <w:rFonts w:cs="Arial"/>
        </w:rPr>
        <w:t xml:space="preserve"> in </w:t>
      </w:r>
      <w:r w:rsidR="00906C26">
        <w:rPr>
          <w:rFonts w:cs="Arial"/>
        </w:rPr>
        <w:t xml:space="preserve">having an operational </w:t>
      </w:r>
      <w:r w:rsidR="00B9769B">
        <w:rPr>
          <w:rFonts w:cs="Arial"/>
        </w:rPr>
        <w:t xml:space="preserve">CIL </w:t>
      </w:r>
      <w:r w:rsidR="000E3FAD">
        <w:rPr>
          <w:rFonts w:cs="Arial"/>
        </w:rPr>
        <w:t xml:space="preserve">for </w:t>
      </w:r>
      <w:r w:rsidR="00906C26">
        <w:rPr>
          <w:rFonts w:cs="Arial"/>
        </w:rPr>
        <w:t>South Somerset.</w:t>
      </w:r>
    </w:p>
    <w:p w:rsidR="00906C26" w:rsidRDefault="00906C26" w:rsidP="00A90DAA">
      <w:pPr>
        <w:pStyle w:val="ListParagraph"/>
        <w:numPr>
          <w:ilvl w:val="1"/>
          <w:numId w:val="1"/>
        </w:numPr>
        <w:spacing w:before="120" w:after="120"/>
        <w:ind w:left="567" w:hanging="567"/>
        <w:rPr>
          <w:rFonts w:cs="Arial"/>
        </w:rPr>
      </w:pPr>
      <w:r w:rsidRPr="00906C26">
        <w:rPr>
          <w:rFonts w:cs="Arial"/>
        </w:rPr>
        <w:t xml:space="preserve">Previous work </w:t>
      </w:r>
      <w:r>
        <w:rPr>
          <w:rFonts w:cs="Arial"/>
        </w:rPr>
        <w:t>o</w:t>
      </w:r>
      <w:r w:rsidR="00B9769B" w:rsidRPr="00906C26">
        <w:rPr>
          <w:rFonts w:cs="Arial"/>
        </w:rPr>
        <w:t>n the Preliminary Draft Charging Schedule</w:t>
      </w:r>
      <w:r w:rsidR="000E3FAD" w:rsidRPr="00906C26">
        <w:rPr>
          <w:rFonts w:cs="Arial"/>
        </w:rPr>
        <w:t xml:space="preserve"> (PDCS)</w:t>
      </w:r>
      <w:r w:rsidRPr="00906C26">
        <w:rPr>
          <w:rFonts w:cs="Arial"/>
        </w:rPr>
        <w:t xml:space="preserve"> took place in March 2012, and consultation on the </w:t>
      </w:r>
      <w:r w:rsidR="00B9769B" w:rsidRPr="00906C26">
        <w:rPr>
          <w:rFonts w:cs="Arial"/>
        </w:rPr>
        <w:t>D</w:t>
      </w:r>
      <w:r w:rsidRPr="00906C26">
        <w:rPr>
          <w:rFonts w:cs="Arial"/>
        </w:rPr>
        <w:t>raft Charging Schedule (D</w:t>
      </w:r>
      <w:r w:rsidR="00B9769B" w:rsidRPr="00906C26">
        <w:rPr>
          <w:rFonts w:cs="Arial"/>
        </w:rPr>
        <w:t>CS</w:t>
      </w:r>
      <w:r>
        <w:rPr>
          <w:rFonts w:cs="Arial"/>
        </w:rPr>
        <w:t xml:space="preserve">) occurred in </w:t>
      </w:r>
      <w:r w:rsidRPr="00906C26">
        <w:rPr>
          <w:rFonts w:cs="Arial"/>
        </w:rPr>
        <w:t>February 2016.</w:t>
      </w:r>
      <w:r>
        <w:rPr>
          <w:rFonts w:cs="Arial"/>
        </w:rPr>
        <w:t xml:space="preserve"> The DCS was submitted to an Examiner in May 2016, and the Hearing Session into the DCS was held on the 9</w:t>
      </w:r>
      <w:r w:rsidRPr="00906C26">
        <w:rPr>
          <w:rFonts w:cs="Arial"/>
          <w:vertAlign w:val="superscript"/>
        </w:rPr>
        <w:t>th</w:t>
      </w:r>
      <w:r>
        <w:rPr>
          <w:rFonts w:cs="Arial"/>
        </w:rPr>
        <w:t xml:space="preserve"> August 2016. The Examiner’s Report was issued to the Council on the 19</w:t>
      </w:r>
      <w:r w:rsidRPr="00906C26">
        <w:rPr>
          <w:rFonts w:cs="Arial"/>
          <w:vertAlign w:val="superscript"/>
        </w:rPr>
        <w:t>th</w:t>
      </w:r>
      <w:r>
        <w:rPr>
          <w:rFonts w:cs="Arial"/>
        </w:rPr>
        <w:t xml:space="preserve"> October 2016</w:t>
      </w:r>
      <w:r>
        <w:rPr>
          <w:rStyle w:val="FootnoteReference"/>
          <w:rFonts w:cs="Arial"/>
        </w:rPr>
        <w:footnoteReference w:id="3"/>
      </w:r>
      <w:r>
        <w:rPr>
          <w:rFonts w:cs="Arial"/>
        </w:rPr>
        <w:t>.</w:t>
      </w:r>
    </w:p>
    <w:p w:rsidR="00AB37E5" w:rsidRPr="00906C26" w:rsidRDefault="00906C26" w:rsidP="00A90DAA">
      <w:pPr>
        <w:pStyle w:val="ListParagraph"/>
        <w:numPr>
          <w:ilvl w:val="1"/>
          <w:numId w:val="1"/>
        </w:numPr>
        <w:spacing w:before="120" w:after="120"/>
        <w:ind w:left="567" w:hanging="567"/>
        <w:rPr>
          <w:rFonts w:cs="Arial"/>
        </w:rPr>
      </w:pPr>
      <w:r>
        <w:rPr>
          <w:rFonts w:cs="Arial"/>
        </w:rPr>
        <w:t>The s</w:t>
      </w:r>
      <w:r w:rsidR="001A5E17" w:rsidRPr="00906C26">
        <w:rPr>
          <w:rFonts w:cs="Arial"/>
        </w:rPr>
        <w:t>upporting</w:t>
      </w:r>
      <w:r w:rsidR="006857DA" w:rsidRPr="00906C26">
        <w:rPr>
          <w:rFonts w:cs="Arial"/>
        </w:rPr>
        <w:t xml:space="preserve"> evidence</w:t>
      </w:r>
      <w:r w:rsidR="001A5E17" w:rsidRPr="00906C26">
        <w:rPr>
          <w:rFonts w:cs="Arial"/>
        </w:rPr>
        <w:t xml:space="preserve"> </w:t>
      </w:r>
      <w:r>
        <w:rPr>
          <w:rFonts w:cs="Arial"/>
        </w:rPr>
        <w:t>to justify proposing a levy in South Somerset includes</w:t>
      </w:r>
      <w:r>
        <w:rPr>
          <w:rStyle w:val="FootnoteReference"/>
          <w:rFonts w:cs="Arial"/>
        </w:rPr>
        <w:footnoteReference w:id="4"/>
      </w:r>
      <w:r w:rsidR="00AB37E5" w:rsidRPr="00906C26">
        <w:rPr>
          <w:rFonts w:cs="Arial"/>
        </w:rPr>
        <w:t>:</w:t>
      </w:r>
    </w:p>
    <w:p w:rsidR="001A5E17" w:rsidRDefault="001A5E17" w:rsidP="002C2B8E">
      <w:pPr>
        <w:pStyle w:val="ListParagraph"/>
        <w:numPr>
          <w:ilvl w:val="0"/>
          <w:numId w:val="7"/>
        </w:numPr>
        <w:spacing w:before="120" w:after="120"/>
        <w:ind w:left="924" w:hanging="357"/>
        <w:rPr>
          <w:rFonts w:cs="Arial"/>
        </w:rPr>
      </w:pPr>
      <w:r>
        <w:rPr>
          <w:rFonts w:cs="Arial"/>
        </w:rPr>
        <w:t xml:space="preserve">Community Infrastructure Levy evidence base, Roger </w:t>
      </w:r>
      <w:proofErr w:type="spellStart"/>
      <w:r>
        <w:rPr>
          <w:rFonts w:cs="Arial"/>
        </w:rPr>
        <w:t>Tym</w:t>
      </w:r>
      <w:proofErr w:type="spellEnd"/>
      <w:r>
        <w:rPr>
          <w:rFonts w:cs="Arial"/>
        </w:rPr>
        <w:t xml:space="preserve"> &amp; Partners and Baker Associates (January 2012)</w:t>
      </w:r>
      <w:r w:rsidR="00A04E6B">
        <w:rPr>
          <w:rFonts w:cs="Arial"/>
        </w:rPr>
        <w:t>;</w:t>
      </w:r>
    </w:p>
    <w:p w:rsidR="0058085D" w:rsidRDefault="0058085D" w:rsidP="002C2B8E">
      <w:pPr>
        <w:pStyle w:val="ListParagraph"/>
        <w:numPr>
          <w:ilvl w:val="0"/>
          <w:numId w:val="7"/>
        </w:numPr>
        <w:spacing w:before="120" w:after="120"/>
        <w:ind w:left="924" w:hanging="357"/>
        <w:rPr>
          <w:rFonts w:cs="Arial"/>
        </w:rPr>
      </w:pPr>
      <w:r>
        <w:rPr>
          <w:rFonts w:cs="Arial"/>
        </w:rPr>
        <w:t>Community Infrastructure Levy: viability study, BNP Paribas and SSDC (May 2013)</w:t>
      </w:r>
      <w:r w:rsidR="00A04E6B">
        <w:rPr>
          <w:rFonts w:cs="Arial"/>
        </w:rPr>
        <w:t>;</w:t>
      </w:r>
    </w:p>
    <w:p w:rsidR="0058085D" w:rsidRDefault="0058085D" w:rsidP="002C2B8E">
      <w:pPr>
        <w:pStyle w:val="ListParagraph"/>
        <w:numPr>
          <w:ilvl w:val="0"/>
          <w:numId w:val="7"/>
        </w:numPr>
        <w:spacing w:before="120" w:after="120"/>
        <w:ind w:left="924" w:hanging="357"/>
        <w:rPr>
          <w:rFonts w:cs="Arial"/>
        </w:rPr>
      </w:pPr>
      <w:r>
        <w:rPr>
          <w:rFonts w:cs="Arial"/>
        </w:rPr>
        <w:t xml:space="preserve">Community </w:t>
      </w:r>
      <w:r w:rsidRPr="00D3472A">
        <w:rPr>
          <w:rFonts w:cs="Arial"/>
        </w:rPr>
        <w:t>Infrastructure Levy</w:t>
      </w:r>
      <w:r w:rsidR="00671CAF" w:rsidRPr="00D3472A">
        <w:rPr>
          <w:rFonts w:cs="Arial"/>
        </w:rPr>
        <w:t>:</w:t>
      </w:r>
      <w:r w:rsidRPr="00D3472A">
        <w:rPr>
          <w:rFonts w:cs="Arial"/>
        </w:rPr>
        <w:t xml:space="preserve"> viability assessment – update Addendum report, BNP Paribas and SSDC (July </w:t>
      </w:r>
      <w:r w:rsidR="00D3472A" w:rsidRPr="00D3472A">
        <w:rPr>
          <w:rFonts w:cs="Arial"/>
        </w:rPr>
        <w:t>2015)</w:t>
      </w:r>
      <w:r w:rsidR="00A04E6B">
        <w:rPr>
          <w:rFonts w:cs="Arial"/>
        </w:rPr>
        <w:t>;</w:t>
      </w:r>
    </w:p>
    <w:p w:rsidR="0058085D" w:rsidRDefault="0058085D" w:rsidP="002C2B8E">
      <w:pPr>
        <w:pStyle w:val="ListParagraph"/>
        <w:numPr>
          <w:ilvl w:val="0"/>
          <w:numId w:val="7"/>
        </w:numPr>
        <w:spacing w:before="120" w:after="120"/>
        <w:rPr>
          <w:rFonts w:cs="Arial"/>
        </w:rPr>
      </w:pPr>
      <w:r>
        <w:rPr>
          <w:rFonts w:cs="Arial"/>
        </w:rPr>
        <w:t>South Somerset Infrastructure Delivery Pla</w:t>
      </w:r>
      <w:r w:rsidR="00A04E6B">
        <w:rPr>
          <w:rFonts w:cs="Arial"/>
        </w:rPr>
        <w:t>n update 2015/16 (January 2016);</w:t>
      </w:r>
    </w:p>
    <w:p w:rsidR="00A04E6B" w:rsidRDefault="00A04E6B" w:rsidP="002C2B8E">
      <w:pPr>
        <w:pStyle w:val="ListParagraph"/>
        <w:numPr>
          <w:ilvl w:val="0"/>
          <w:numId w:val="7"/>
        </w:numPr>
        <w:spacing w:before="120" w:after="120"/>
        <w:rPr>
          <w:rFonts w:cs="Arial"/>
        </w:rPr>
      </w:pPr>
      <w:r>
        <w:rPr>
          <w:rFonts w:cs="Arial"/>
        </w:rPr>
        <w:t>Additional viability evidence prepared for an 800 dwelling development in Yeovil (March 2016); and</w:t>
      </w:r>
    </w:p>
    <w:p w:rsidR="00A04E6B" w:rsidRDefault="00A04E6B" w:rsidP="002C2B8E">
      <w:pPr>
        <w:pStyle w:val="ListParagraph"/>
        <w:numPr>
          <w:ilvl w:val="0"/>
          <w:numId w:val="7"/>
        </w:numPr>
        <w:spacing w:before="120" w:after="120"/>
        <w:rPr>
          <w:rFonts w:cs="Arial"/>
        </w:rPr>
      </w:pPr>
      <w:r>
        <w:rPr>
          <w:rFonts w:cs="Arial"/>
        </w:rPr>
        <w:t>Additional infrastructure evidence on the need for a new cemetery in Yeovil (April 2016).</w:t>
      </w:r>
    </w:p>
    <w:p w:rsidR="00AB37E5" w:rsidRPr="00D907FA" w:rsidRDefault="00AB37E5" w:rsidP="00AB37E5">
      <w:pPr>
        <w:rPr>
          <w:rFonts w:cs="Arial"/>
        </w:rPr>
        <w:sectPr w:rsidR="00AB37E5" w:rsidRPr="00D907FA" w:rsidSect="007C15E5">
          <w:pgSz w:w="11906" w:h="16838"/>
          <w:pgMar w:top="1440" w:right="1440" w:bottom="1440" w:left="1440" w:header="708" w:footer="708" w:gutter="0"/>
          <w:pgNumType w:start="1"/>
          <w:cols w:space="708"/>
          <w:docGrid w:linePitch="360"/>
        </w:sectPr>
      </w:pPr>
    </w:p>
    <w:p w:rsidR="009B5B20" w:rsidRDefault="00EF0C4C" w:rsidP="00FD6BDE">
      <w:pPr>
        <w:pStyle w:val="Heading1"/>
        <w:numPr>
          <w:ilvl w:val="0"/>
          <w:numId w:val="1"/>
        </w:numPr>
        <w:spacing w:before="360" w:after="120"/>
        <w:rPr>
          <w:rFonts w:ascii="Arial" w:hAnsi="Arial" w:cs="Arial"/>
          <w:color w:val="76923C" w:themeColor="accent3" w:themeShade="BF"/>
        </w:rPr>
      </w:pPr>
      <w:r>
        <w:rPr>
          <w:rFonts w:ascii="Arial" w:hAnsi="Arial" w:cs="Arial"/>
          <w:color w:val="76923C" w:themeColor="accent3" w:themeShade="BF"/>
        </w:rPr>
        <w:lastRenderedPageBreak/>
        <w:t>Charging Schedule</w:t>
      </w:r>
    </w:p>
    <w:p w:rsidR="002C2B8E" w:rsidRDefault="006A73B5" w:rsidP="006A73B5">
      <w:pPr>
        <w:pStyle w:val="ListParagraph"/>
        <w:numPr>
          <w:ilvl w:val="1"/>
          <w:numId w:val="1"/>
        </w:numPr>
        <w:ind w:left="567" w:hanging="567"/>
        <w:rPr>
          <w:rFonts w:cs="Arial"/>
        </w:rPr>
      </w:pPr>
      <w:r w:rsidRPr="006A73B5">
        <w:rPr>
          <w:rFonts w:cs="Arial"/>
        </w:rPr>
        <w:t>T</w:t>
      </w:r>
      <w:r w:rsidR="007B1E0A" w:rsidRPr="006A73B5">
        <w:rPr>
          <w:rFonts w:cs="Arial"/>
        </w:rPr>
        <w:t>he levy</w:t>
      </w:r>
      <w:r w:rsidRPr="006A73B5">
        <w:rPr>
          <w:rFonts w:cs="Arial"/>
        </w:rPr>
        <w:t xml:space="preserve"> rates were endorsed by the Examiner in the Examiner’s Report</w:t>
      </w:r>
      <w:r w:rsidR="007B1E0A" w:rsidRPr="006A73B5">
        <w:rPr>
          <w:rFonts w:cs="Arial"/>
        </w:rPr>
        <w:t>.</w:t>
      </w:r>
      <w:r w:rsidR="004D5CFD" w:rsidRPr="006A73B5">
        <w:rPr>
          <w:rFonts w:cs="Arial"/>
        </w:rPr>
        <w:t xml:space="preserve"> </w:t>
      </w:r>
    </w:p>
    <w:p w:rsidR="002C2B8E" w:rsidRDefault="006C11A2" w:rsidP="006A73B5">
      <w:pPr>
        <w:pStyle w:val="ListParagraph"/>
        <w:numPr>
          <w:ilvl w:val="1"/>
          <w:numId w:val="1"/>
        </w:numPr>
        <w:ind w:left="567" w:hanging="567"/>
        <w:rPr>
          <w:rFonts w:cs="Arial"/>
        </w:rPr>
      </w:pPr>
      <w:r w:rsidRPr="006A73B5">
        <w:rPr>
          <w:rFonts w:cs="Arial"/>
        </w:rPr>
        <w:t xml:space="preserve">The </w:t>
      </w:r>
      <w:r w:rsidR="00482AD4" w:rsidRPr="006A73B5">
        <w:rPr>
          <w:rFonts w:cs="Arial"/>
        </w:rPr>
        <w:t xml:space="preserve">Charging Schedule set out in Table </w:t>
      </w:r>
      <w:r w:rsidRPr="006A73B5">
        <w:rPr>
          <w:rFonts w:cs="Arial"/>
        </w:rPr>
        <w:t>3</w:t>
      </w:r>
      <w:r w:rsidR="00482AD4" w:rsidRPr="006A73B5">
        <w:rPr>
          <w:rFonts w:cs="Arial"/>
        </w:rPr>
        <w:t xml:space="preserve">.1 should be read in conjunction with the accompanying Appendices. </w:t>
      </w:r>
    </w:p>
    <w:p w:rsidR="00F05BA8" w:rsidRPr="006A73B5" w:rsidRDefault="00482AD4" w:rsidP="006A73B5">
      <w:pPr>
        <w:pStyle w:val="ListParagraph"/>
        <w:numPr>
          <w:ilvl w:val="1"/>
          <w:numId w:val="1"/>
        </w:numPr>
        <w:ind w:left="567" w:hanging="567"/>
        <w:rPr>
          <w:rFonts w:cs="Arial"/>
        </w:rPr>
      </w:pPr>
      <w:r w:rsidRPr="006A73B5">
        <w:rPr>
          <w:rFonts w:cs="Arial"/>
        </w:rPr>
        <w:t xml:space="preserve">These set out the geographical extent of the various charging zones within South Somerset. The Appendices </w:t>
      </w:r>
      <w:r w:rsidR="00F05BA8" w:rsidRPr="006A73B5">
        <w:rPr>
          <w:rFonts w:cs="Arial"/>
        </w:rPr>
        <w:t xml:space="preserve">identified in Table 3.1 </w:t>
      </w:r>
      <w:r w:rsidRPr="006A73B5">
        <w:rPr>
          <w:rFonts w:cs="Arial"/>
        </w:rPr>
        <w:t>can be found at the following webpage:</w:t>
      </w:r>
      <w:r w:rsidR="00F05BA8" w:rsidRPr="006A73B5">
        <w:rPr>
          <w:rFonts w:cs="Arial"/>
        </w:rPr>
        <w:t xml:space="preserve"> </w:t>
      </w:r>
      <w:hyperlink r:id="rId16" w:history="1">
        <w:r w:rsidR="00F05BA8" w:rsidRPr="006A73B5">
          <w:rPr>
            <w:rStyle w:val="Hyperlink"/>
            <w:rFonts w:cs="Arial"/>
          </w:rPr>
          <w:t>http://www.southsomerset.gov.uk/planning-and-building-control/planning-policy/community-infrastructure-levy/</w:t>
        </w:r>
      </w:hyperlink>
    </w:p>
    <w:p w:rsidR="009F644C" w:rsidRPr="004D5CFD" w:rsidRDefault="006C11A2" w:rsidP="004D5CFD">
      <w:pPr>
        <w:rPr>
          <w:rFonts w:cs="Arial"/>
          <w:b/>
        </w:rPr>
      </w:pPr>
      <w:r>
        <w:rPr>
          <w:rFonts w:cs="Arial"/>
          <w:b/>
        </w:rPr>
        <w:t>Table 3</w:t>
      </w:r>
      <w:r w:rsidR="004D5CFD" w:rsidRPr="004D5CFD">
        <w:rPr>
          <w:rFonts w:cs="Arial"/>
          <w:b/>
        </w:rPr>
        <w:t>.1: Charging Schedule</w:t>
      </w:r>
    </w:p>
    <w:tbl>
      <w:tblPr>
        <w:tblStyle w:val="LightList-Accent3"/>
        <w:tblW w:w="9450" w:type="dxa"/>
        <w:tblInd w:w="108" w:type="dxa"/>
        <w:tblLook w:val="04A0" w:firstRow="1" w:lastRow="0" w:firstColumn="1" w:lastColumn="0" w:noHBand="0" w:noVBand="1"/>
      </w:tblPr>
      <w:tblGrid>
        <w:gridCol w:w="3969"/>
        <w:gridCol w:w="2956"/>
        <w:gridCol w:w="2525"/>
      </w:tblGrid>
      <w:tr w:rsidR="004D5CFD" w:rsidTr="005D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shd w:val="clear" w:color="auto" w:fill="C2D69B" w:themeFill="accent3" w:themeFillTint="99"/>
          </w:tcPr>
          <w:p w:rsidR="004D5CFD" w:rsidRPr="00D80090" w:rsidRDefault="004D5CFD" w:rsidP="0040029E">
            <w:r>
              <w:t>Type of Development</w:t>
            </w:r>
          </w:p>
        </w:tc>
        <w:tc>
          <w:tcPr>
            <w:tcW w:w="2956"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4D5CFD" w:rsidRPr="00D80090" w:rsidRDefault="004D5CFD" w:rsidP="0040029E">
            <w:pPr>
              <w:cnfStyle w:val="100000000000" w:firstRow="1" w:lastRow="0" w:firstColumn="0" w:lastColumn="0" w:oddVBand="0" w:evenVBand="0" w:oddHBand="0" w:evenHBand="0" w:firstRowFirstColumn="0" w:firstRowLastColumn="0" w:lastRowFirstColumn="0" w:lastRowLastColumn="0"/>
            </w:pPr>
            <w:r>
              <w:t>Levy Rate</w:t>
            </w:r>
          </w:p>
        </w:tc>
        <w:tc>
          <w:tcPr>
            <w:tcW w:w="2525"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4D5CFD" w:rsidRDefault="004D5CFD" w:rsidP="0040029E">
            <w:pPr>
              <w:cnfStyle w:val="100000000000" w:firstRow="1" w:lastRow="0" w:firstColumn="0" w:lastColumn="0" w:oddVBand="0" w:evenVBand="0" w:oddHBand="0" w:evenHBand="0" w:firstRowFirstColumn="0" w:firstRowLastColumn="0" w:lastRowFirstColumn="0" w:lastRowLastColumn="0"/>
            </w:pPr>
            <w:r>
              <w:t>Geographical Extent</w:t>
            </w:r>
          </w:p>
        </w:tc>
      </w:tr>
      <w:tr w:rsidR="004D5CFD" w:rsidTr="00D1793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4D5CFD" w:rsidRDefault="004D5CFD" w:rsidP="0040029E">
            <w:pPr>
              <w:rPr>
                <w:rFonts w:cs="Arial"/>
              </w:rPr>
            </w:pPr>
            <w:r>
              <w:rPr>
                <w:rFonts w:cs="Arial"/>
              </w:rPr>
              <w:t xml:space="preserve">Yeovil </w:t>
            </w:r>
            <w:r w:rsidR="00B26AC6">
              <w:rPr>
                <w:rFonts w:cs="Arial"/>
              </w:rPr>
              <w:t xml:space="preserve">Sustainable </w:t>
            </w:r>
            <w:r>
              <w:rPr>
                <w:rFonts w:cs="Arial"/>
              </w:rPr>
              <w:t>Urban Extensions</w:t>
            </w:r>
            <w:r w:rsidR="00254E02">
              <w:rPr>
                <w:rStyle w:val="FootnoteReference"/>
                <w:rFonts w:cs="Arial"/>
              </w:rPr>
              <w:footnoteReference w:id="5"/>
            </w:r>
          </w:p>
        </w:tc>
        <w:tc>
          <w:tcPr>
            <w:tcW w:w="2956" w:type="dxa"/>
            <w:tcBorders>
              <w:left w:val="single" w:sz="8" w:space="0" w:color="9BBB59" w:themeColor="accent3"/>
            </w:tcBorders>
          </w:tcPr>
          <w:p w:rsidR="004D5CFD" w:rsidRDefault="004D5CFD" w:rsidP="0040029E">
            <w:pPr>
              <w:cnfStyle w:val="000000100000" w:firstRow="0" w:lastRow="0" w:firstColumn="0" w:lastColumn="0" w:oddVBand="0" w:evenVBand="0" w:oddHBand="1"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4D5CFD" w:rsidRDefault="00254E02" w:rsidP="00254E0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See Appendix </w:t>
            </w:r>
            <w:r w:rsidR="00F4043D">
              <w:rPr>
                <w:rFonts w:cs="Arial"/>
              </w:rPr>
              <w:t>1</w:t>
            </w:r>
          </w:p>
        </w:tc>
      </w:tr>
      <w:tr w:rsidR="004D5CFD" w:rsidTr="00D17935">
        <w:trPr>
          <w:trHeight w:val="399"/>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tcPr>
          <w:p w:rsidR="004D5CFD" w:rsidRDefault="004D5CFD" w:rsidP="00254E02">
            <w:pPr>
              <w:rPr>
                <w:rFonts w:cs="Arial"/>
              </w:rPr>
            </w:pPr>
            <w:r>
              <w:rPr>
                <w:rFonts w:cs="Arial"/>
              </w:rPr>
              <w:t>Chard Eastern Development Area</w:t>
            </w:r>
            <w:r w:rsidR="00254E02">
              <w:rPr>
                <w:rStyle w:val="FootnoteReference"/>
                <w:rFonts w:cs="Arial"/>
              </w:rPr>
              <w:footnoteReference w:id="6"/>
            </w:r>
          </w:p>
        </w:tc>
        <w:tc>
          <w:tcPr>
            <w:tcW w:w="2956" w:type="dxa"/>
            <w:tcBorders>
              <w:left w:val="single" w:sz="8" w:space="0" w:color="9BBB59" w:themeColor="accent3"/>
            </w:tcBorders>
          </w:tcPr>
          <w:p w:rsidR="004D5CFD" w:rsidRDefault="004D5CFD" w:rsidP="0040029E">
            <w:pPr>
              <w:cnfStyle w:val="000000000000" w:firstRow="0" w:lastRow="0" w:firstColumn="0" w:lastColumn="0" w:oddVBand="0" w:evenVBand="0" w:oddHBand="0"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4D5CFD" w:rsidRDefault="00254E02" w:rsidP="0040029E">
            <w:pPr>
              <w:cnfStyle w:val="000000000000" w:firstRow="0" w:lastRow="0" w:firstColumn="0" w:lastColumn="0" w:oddVBand="0" w:evenVBand="0" w:oddHBand="0" w:evenHBand="0" w:firstRowFirstColumn="0" w:firstRowLastColumn="0" w:lastRowFirstColumn="0" w:lastRowLastColumn="0"/>
              <w:rPr>
                <w:rFonts w:cs="Arial"/>
              </w:rPr>
            </w:pPr>
            <w:r>
              <w:rPr>
                <w:rFonts w:cs="Arial"/>
              </w:rPr>
              <w:t>See Appendix</w:t>
            </w:r>
            <w:r w:rsidR="00F4043D">
              <w:rPr>
                <w:rFonts w:cs="Arial"/>
              </w:rPr>
              <w:t xml:space="preserve"> 2</w:t>
            </w:r>
          </w:p>
        </w:tc>
      </w:tr>
      <w:tr w:rsidR="004D5CFD" w:rsidTr="00D1793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4D5CFD" w:rsidRDefault="004D5CFD" w:rsidP="004D519C">
            <w:pPr>
              <w:rPr>
                <w:rFonts w:cs="Arial"/>
              </w:rPr>
            </w:pPr>
            <w:r>
              <w:rPr>
                <w:rFonts w:cs="Arial"/>
              </w:rPr>
              <w:t>All Other Residential Development</w:t>
            </w:r>
          </w:p>
        </w:tc>
        <w:tc>
          <w:tcPr>
            <w:tcW w:w="2956" w:type="dxa"/>
            <w:tcBorders>
              <w:left w:val="single" w:sz="8" w:space="0" w:color="9BBB59" w:themeColor="accent3"/>
            </w:tcBorders>
          </w:tcPr>
          <w:p w:rsidR="004D5CFD" w:rsidRDefault="004D5CFD" w:rsidP="0040029E">
            <w:pPr>
              <w:cnfStyle w:val="000000100000" w:firstRow="0" w:lastRow="0" w:firstColumn="0" w:lastColumn="0" w:oddVBand="0" w:evenVBand="0" w:oddHBand="1" w:evenHBand="0" w:firstRowFirstColumn="0" w:firstRowLastColumn="0" w:lastRowFirstColumn="0" w:lastRowLastColumn="0"/>
              <w:rPr>
                <w:rFonts w:cs="Arial"/>
              </w:rPr>
            </w:pPr>
            <w:r>
              <w:rPr>
                <w:rFonts w:cs="Arial"/>
              </w:rPr>
              <w:t>£40 per square metre</w:t>
            </w:r>
          </w:p>
        </w:tc>
        <w:tc>
          <w:tcPr>
            <w:tcW w:w="2525" w:type="dxa"/>
            <w:tcBorders>
              <w:left w:val="single" w:sz="8" w:space="0" w:color="9BBB59" w:themeColor="accent3"/>
            </w:tcBorders>
          </w:tcPr>
          <w:p w:rsidR="004D5CFD" w:rsidRDefault="00F4043D" w:rsidP="00254E02">
            <w:pPr>
              <w:cnfStyle w:val="000000100000" w:firstRow="0" w:lastRow="0" w:firstColumn="0" w:lastColumn="0" w:oddVBand="0" w:evenVBand="0" w:oddHBand="1" w:evenHBand="0" w:firstRowFirstColumn="0" w:firstRowLastColumn="0" w:lastRowFirstColumn="0" w:lastRowLastColumn="0"/>
              <w:rPr>
                <w:rFonts w:cs="Arial"/>
              </w:rPr>
            </w:pPr>
            <w:r>
              <w:rPr>
                <w:rFonts w:cs="Arial"/>
              </w:rPr>
              <w:t>District-wide</w:t>
            </w:r>
            <w:r w:rsidR="00254E02">
              <w:rPr>
                <w:rFonts w:cs="Arial"/>
              </w:rPr>
              <w:t>. See Appendix 3</w:t>
            </w:r>
          </w:p>
        </w:tc>
      </w:tr>
      <w:tr w:rsidR="004D5CFD" w:rsidTr="00D17935">
        <w:trPr>
          <w:trHeight w:val="1391"/>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tcPr>
          <w:p w:rsidR="004D5CFD" w:rsidRDefault="00F4043D" w:rsidP="00760064">
            <w:pPr>
              <w:rPr>
                <w:rFonts w:cs="Arial"/>
              </w:rPr>
            </w:pPr>
            <w:r>
              <w:rPr>
                <w:rFonts w:cs="Arial"/>
              </w:rPr>
              <w:t>Convenience-based Supermarkets and Superstores, and Retail Warehouse Parks</w:t>
            </w:r>
            <w:r w:rsidR="00760064">
              <w:rPr>
                <w:rFonts w:cs="Arial"/>
              </w:rPr>
              <w:t xml:space="preserve"> (outside of defined Town Centres and Primary Shopping Areas)</w:t>
            </w:r>
            <w:r w:rsidR="00E941C9">
              <w:rPr>
                <w:rStyle w:val="FootnoteReference"/>
                <w:rFonts w:cs="Arial"/>
              </w:rPr>
              <w:footnoteReference w:id="7"/>
            </w:r>
            <w:r w:rsidR="00760064">
              <w:rPr>
                <w:rStyle w:val="FootnoteReference"/>
                <w:rFonts w:cs="Arial"/>
              </w:rPr>
              <w:t xml:space="preserve"> </w:t>
            </w:r>
            <w:r w:rsidR="00760064">
              <w:rPr>
                <w:rStyle w:val="FootnoteReference"/>
                <w:rFonts w:cs="Arial"/>
              </w:rPr>
              <w:footnoteReference w:id="8"/>
            </w:r>
          </w:p>
        </w:tc>
        <w:tc>
          <w:tcPr>
            <w:tcW w:w="2956" w:type="dxa"/>
            <w:tcBorders>
              <w:left w:val="single" w:sz="8" w:space="0" w:color="9BBB59" w:themeColor="accent3"/>
            </w:tcBorders>
          </w:tcPr>
          <w:p w:rsidR="004D5CFD" w:rsidRDefault="00F4043D" w:rsidP="0040029E">
            <w:pPr>
              <w:cnfStyle w:val="000000000000" w:firstRow="0" w:lastRow="0" w:firstColumn="0" w:lastColumn="0" w:oddVBand="0" w:evenVBand="0" w:oddHBand="0" w:evenHBand="0" w:firstRowFirstColumn="0" w:firstRowLastColumn="0" w:lastRowFirstColumn="0" w:lastRowLastColumn="0"/>
              <w:rPr>
                <w:rFonts w:cs="Arial"/>
              </w:rPr>
            </w:pPr>
            <w:r>
              <w:rPr>
                <w:rFonts w:cs="Arial"/>
              </w:rPr>
              <w:t>£100 per square metre</w:t>
            </w:r>
          </w:p>
        </w:tc>
        <w:tc>
          <w:tcPr>
            <w:tcW w:w="2525" w:type="dxa"/>
            <w:tcBorders>
              <w:left w:val="single" w:sz="8" w:space="0" w:color="9BBB59" w:themeColor="accent3"/>
            </w:tcBorders>
          </w:tcPr>
          <w:p w:rsidR="004D5CFD" w:rsidRDefault="009B2F4F" w:rsidP="00DC7A84">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District-wide, </w:t>
            </w:r>
            <w:r w:rsidR="00DC7A84">
              <w:rPr>
                <w:rFonts w:cs="Arial"/>
              </w:rPr>
              <w:t>excluding</w:t>
            </w:r>
            <w:r>
              <w:rPr>
                <w:rFonts w:cs="Arial"/>
              </w:rPr>
              <w:t xml:space="preserve"> those areas defined in A</w:t>
            </w:r>
            <w:r w:rsidR="00760064">
              <w:rPr>
                <w:rFonts w:cs="Arial"/>
              </w:rPr>
              <w:t xml:space="preserve">ppendices </w:t>
            </w:r>
            <w:r w:rsidR="00C15E71">
              <w:rPr>
                <w:rFonts w:cs="Arial"/>
              </w:rPr>
              <w:t xml:space="preserve">1, 2, and </w:t>
            </w:r>
            <w:r w:rsidR="00760064">
              <w:rPr>
                <w:rFonts w:cs="Arial"/>
              </w:rPr>
              <w:t xml:space="preserve">4 </w:t>
            </w:r>
            <w:r w:rsidR="00C15E71">
              <w:rPr>
                <w:rFonts w:cs="Arial"/>
              </w:rPr>
              <w:t>–</w:t>
            </w:r>
            <w:r w:rsidR="00760064">
              <w:rPr>
                <w:rFonts w:cs="Arial"/>
              </w:rPr>
              <w:t xml:space="preserve"> 15</w:t>
            </w:r>
          </w:p>
        </w:tc>
      </w:tr>
      <w:tr w:rsidR="004D5CFD" w:rsidTr="005D6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4D5CFD" w:rsidRDefault="00F4043D" w:rsidP="0040029E">
            <w:pPr>
              <w:rPr>
                <w:rFonts w:cs="Arial"/>
              </w:rPr>
            </w:pPr>
            <w:r>
              <w:rPr>
                <w:rFonts w:cs="Arial"/>
              </w:rPr>
              <w:t>All Other Uses</w:t>
            </w:r>
          </w:p>
        </w:tc>
        <w:tc>
          <w:tcPr>
            <w:tcW w:w="2956" w:type="dxa"/>
            <w:tcBorders>
              <w:left w:val="single" w:sz="8" w:space="0" w:color="9BBB59" w:themeColor="accent3"/>
            </w:tcBorders>
          </w:tcPr>
          <w:p w:rsidR="004D5CFD" w:rsidRDefault="00F4043D" w:rsidP="0040029E">
            <w:pPr>
              <w:cnfStyle w:val="000000100000" w:firstRow="0" w:lastRow="0" w:firstColumn="0" w:lastColumn="0" w:oddVBand="0" w:evenVBand="0" w:oddHBand="1"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4D5CFD" w:rsidRDefault="00F4043D" w:rsidP="0040029E">
            <w:pPr>
              <w:cnfStyle w:val="000000100000" w:firstRow="0" w:lastRow="0" w:firstColumn="0" w:lastColumn="0" w:oddVBand="0" w:evenVBand="0" w:oddHBand="1" w:evenHBand="0" w:firstRowFirstColumn="0" w:firstRowLastColumn="0" w:lastRowFirstColumn="0" w:lastRowLastColumn="0"/>
              <w:rPr>
                <w:rFonts w:cs="Arial"/>
              </w:rPr>
            </w:pPr>
            <w:r>
              <w:rPr>
                <w:rFonts w:cs="Arial"/>
              </w:rPr>
              <w:t>District-wide</w:t>
            </w:r>
            <w:r w:rsidR="009B2F4F">
              <w:rPr>
                <w:rFonts w:cs="Arial"/>
              </w:rPr>
              <w:t>.</w:t>
            </w:r>
            <w:r w:rsidR="004F0BF6">
              <w:rPr>
                <w:rFonts w:cs="Arial"/>
              </w:rPr>
              <w:t xml:space="preserve"> See Appendix 1 – 15</w:t>
            </w:r>
          </w:p>
        </w:tc>
      </w:tr>
    </w:tbl>
    <w:p w:rsidR="00A90DAA" w:rsidRDefault="00A90DAA" w:rsidP="001B4752">
      <w:pPr>
        <w:pStyle w:val="Heading1"/>
        <w:spacing w:before="360" w:after="120"/>
        <w:ind w:left="360"/>
        <w:rPr>
          <w:rFonts w:cs="Arial"/>
        </w:rPr>
      </w:pPr>
      <w:bookmarkStart w:id="0" w:name="_GoBack"/>
      <w:bookmarkEnd w:id="0"/>
    </w:p>
    <w:sectPr w:rsidR="00A90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84" w:rsidRDefault="00DC7A84" w:rsidP="007C15E5">
      <w:pPr>
        <w:spacing w:after="0" w:line="240" w:lineRule="auto"/>
      </w:pPr>
      <w:r>
        <w:separator/>
      </w:r>
    </w:p>
  </w:endnote>
  <w:endnote w:type="continuationSeparator" w:id="0">
    <w:p w:rsidR="00DC7A84" w:rsidRDefault="00DC7A84" w:rsidP="007C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99"/>
      <w:docPartObj>
        <w:docPartGallery w:val="Page Numbers (Bottom of Page)"/>
        <w:docPartUnique/>
      </w:docPartObj>
    </w:sdtPr>
    <w:sdtEndPr>
      <w:rPr>
        <w:noProof/>
      </w:rPr>
    </w:sdtEndPr>
    <w:sdtContent>
      <w:p w:rsidR="00DC7A84" w:rsidRDefault="00DC7A84">
        <w:pPr>
          <w:pStyle w:val="Footer"/>
          <w:jc w:val="right"/>
        </w:pPr>
        <w:r>
          <w:fldChar w:fldCharType="begin"/>
        </w:r>
        <w:r>
          <w:instrText xml:space="preserve"> PAGE   \* MERGEFORMAT </w:instrText>
        </w:r>
        <w:r>
          <w:fldChar w:fldCharType="separate"/>
        </w:r>
        <w:r w:rsidR="001B4752">
          <w:rPr>
            <w:noProof/>
          </w:rPr>
          <w:t>2</w:t>
        </w:r>
        <w:r>
          <w:rPr>
            <w:noProof/>
          </w:rPr>
          <w:fldChar w:fldCharType="end"/>
        </w:r>
      </w:p>
    </w:sdtContent>
  </w:sdt>
  <w:p w:rsidR="00DC7A84" w:rsidRDefault="00DC7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84" w:rsidRDefault="00DC7A84" w:rsidP="007C15E5">
      <w:pPr>
        <w:spacing w:after="0" w:line="240" w:lineRule="auto"/>
      </w:pPr>
      <w:r>
        <w:separator/>
      </w:r>
    </w:p>
  </w:footnote>
  <w:footnote w:type="continuationSeparator" w:id="0">
    <w:p w:rsidR="00DC7A84" w:rsidRDefault="00DC7A84" w:rsidP="007C15E5">
      <w:pPr>
        <w:spacing w:after="0" w:line="240" w:lineRule="auto"/>
      </w:pPr>
      <w:r>
        <w:continuationSeparator/>
      </w:r>
    </w:p>
  </w:footnote>
  <w:footnote w:id="1">
    <w:p w:rsidR="00DC7A84" w:rsidRPr="0087309F" w:rsidRDefault="00DC7A84">
      <w:pPr>
        <w:pStyle w:val="FootnoteText"/>
        <w:rPr>
          <w:sz w:val="17"/>
          <w:szCs w:val="17"/>
        </w:rPr>
      </w:pPr>
      <w:r w:rsidRPr="0087309F">
        <w:rPr>
          <w:rStyle w:val="FootnoteReference"/>
          <w:sz w:val="17"/>
          <w:szCs w:val="17"/>
        </w:rPr>
        <w:footnoteRef/>
      </w:r>
      <w:r w:rsidRPr="0087309F">
        <w:rPr>
          <w:sz w:val="17"/>
          <w:szCs w:val="17"/>
        </w:rPr>
        <w:t xml:space="preserve"> Community Infrastructure Regulations 2010 (as amended): </w:t>
      </w:r>
      <w:hyperlink r:id="rId1" w:history="1">
        <w:r w:rsidRPr="0087309F">
          <w:rPr>
            <w:rStyle w:val="Hyperlink"/>
            <w:sz w:val="17"/>
            <w:szCs w:val="17"/>
          </w:rPr>
          <w:t>http://www.legislation.gov.uk/uksi/2010/948/contents/made</w:t>
        </w:r>
      </w:hyperlink>
    </w:p>
  </w:footnote>
  <w:footnote w:id="2">
    <w:p w:rsidR="00DC7A84" w:rsidRPr="0087309F" w:rsidRDefault="00DC7A84">
      <w:pPr>
        <w:pStyle w:val="FootnoteText"/>
        <w:rPr>
          <w:sz w:val="17"/>
          <w:szCs w:val="17"/>
        </w:rPr>
      </w:pPr>
      <w:r w:rsidRPr="0087309F">
        <w:rPr>
          <w:rStyle w:val="FootnoteReference"/>
          <w:sz w:val="17"/>
          <w:szCs w:val="17"/>
        </w:rPr>
        <w:footnoteRef/>
      </w:r>
      <w:r w:rsidRPr="0087309F">
        <w:rPr>
          <w:sz w:val="17"/>
          <w:szCs w:val="17"/>
        </w:rPr>
        <w:t xml:space="preserve"> Department for Communities and Local Government Planning Practice Guidance: </w:t>
      </w:r>
      <w:hyperlink r:id="rId2" w:history="1">
        <w:r w:rsidRPr="0087309F">
          <w:rPr>
            <w:rStyle w:val="Hyperlink"/>
            <w:sz w:val="17"/>
            <w:szCs w:val="17"/>
          </w:rPr>
          <w:t>http://planningguidance.communities.gov.uk/blog/guidance/community-infrastructure-levy/</w:t>
        </w:r>
      </w:hyperlink>
      <w:r w:rsidRPr="0087309F">
        <w:rPr>
          <w:sz w:val="17"/>
          <w:szCs w:val="17"/>
        </w:rPr>
        <w:t xml:space="preserve"> </w:t>
      </w:r>
    </w:p>
  </w:footnote>
  <w:footnote w:id="3">
    <w:p w:rsidR="00906C26" w:rsidRPr="0087309F" w:rsidRDefault="00906C26">
      <w:pPr>
        <w:pStyle w:val="FootnoteText"/>
        <w:rPr>
          <w:sz w:val="17"/>
          <w:szCs w:val="17"/>
        </w:rPr>
      </w:pPr>
      <w:r w:rsidRPr="0087309F">
        <w:rPr>
          <w:rStyle w:val="FootnoteReference"/>
          <w:sz w:val="17"/>
          <w:szCs w:val="17"/>
        </w:rPr>
        <w:footnoteRef/>
      </w:r>
      <w:r w:rsidRPr="0087309F">
        <w:rPr>
          <w:sz w:val="17"/>
          <w:szCs w:val="17"/>
        </w:rPr>
        <w:t xml:space="preserve"> Report on the Examination of the Draft South Somerset District Council Community Infrastructure Levy Charging Schedule: </w:t>
      </w:r>
      <w:hyperlink r:id="rId3" w:history="1">
        <w:r w:rsidRPr="0087309F">
          <w:rPr>
            <w:rStyle w:val="Hyperlink"/>
            <w:sz w:val="17"/>
            <w:szCs w:val="17"/>
          </w:rPr>
          <w:t>http://www.southsomerset.gov.uk/media/856838/south_somerset__cil_final_report.pdf</w:t>
        </w:r>
      </w:hyperlink>
      <w:r w:rsidRPr="0087309F">
        <w:rPr>
          <w:sz w:val="17"/>
          <w:szCs w:val="17"/>
        </w:rPr>
        <w:t xml:space="preserve"> </w:t>
      </w:r>
    </w:p>
  </w:footnote>
  <w:footnote w:id="4">
    <w:p w:rsidR="00906C26" w:rsidRDefault="00906C26">
      <w:pPr>
        <w:pStyle w:val="FootnoteText"/>
      </w:pPr>
      <w:r w:rsidRPr="0087309F">
        <w:rPr>
          <w:rStyle w:val="FootnoteReference"/>
          <w:sz w:val="17"/>
          <w:szCs w:val="17"/>
        </w:rPr>
        <w:footnoteRef/>
      </w:r>
      <w:r w:rsidRPr="0087309F">
        <w:rPr>
          <w:sz w:val="17"/>
          <w:szCs w:val="17"/>
        </w:rPr>
        <w:t xml:space="preserve"> South Somerset Community Infrastructure Levy Evidence Base: </w:t>
      </w:r>
      <w:hyperlink r:id="rId4" w:history="1">
        <w:r w:rsidRPr="0087309F">
          <w:rPr>
            <w:rStyle w:val="Hyperlink"/>
            <w:sz w:val="17"/>
            <w:szCs w:val="17"/>
          </w:rPr>
          <w:t>http://www.southsomerset.gov.uk/planning-and-building-control/planning-policy/community-infrastructure-levy/</w:t>
        </w:r>
      </w:hyperlink>
    </w:p>
  </w:footnote>
  <w:footnote w:id="5">
    <w:p w:rsidR="00DC7A84" w:rsidRPr="002C2B8E" w:rsidRDefault="00DC7A84">
      <w:pPr>
        <w:pStyle w:val="FootnoteText"/>
        <w:rPr>
          <w:sz w:val="18"/>
          <w:szCs w:val="18"/>
        </w:rPr>
      </w:pPr>
      <w:r w:rsidRPr="002C2B8E">
        <w:rPr>
          <w:rStyle w:val="FootnoteReference"/>
          <w:sz w:val="18"/>
          <w:szCs w:val="18"/>
        </w:rPr>
        <w:footnoteRef/>
      </w:r>
      <w:r w:rsidRPr="002C2B8E">
        <w:rPr>
          <w:sz w:val="18"/>
          <w:szCs w:val="18"/>
        </w:rPr>
        <w:t xml:space="preserve"> As defined in Policy YV2 in the South Somerset Local Plan (2006 – 2028): North-East Sustainable Urban Extension and South Sustainable Urban Extension.</w:t>
      </w:r>
    </w:p>
  </w:footnote>
  <w:footnote w:id="6">
    <w:p w:rsidR="00DC7A84" w:rsidRPr="002C2B8E" w:rsidRDefault="00DC7A84">
      <w:pPr>
        <w:pStyle w:val="FootnoteText"/>
        <w:rPr>
          <w:sz w:val="18"/>
          <w:szCs w:val="18"/>
        </w:rPr>
      </w:pPr>
      <w:r w:rsidRPr="002C2B8E">
        <w:rPr>
          <w:rStyle w:val="FootnoteReference"/>
          <w:sz w:val="18"/>
          <w:szCs w:val="18"/>
        </w:rPr>
        <w:footnoteRef/>
      </w:r>
      <w:r w:rsidRPr="002C2B8E">
        <w:rPr>
          <w:sz w:val="18"/>
          <w:szCs w:val="18"/>
        </w:rPr>
        <w:t xml:space="preserve"> </w:t>
      </w:r>
      <w:r w:rsidRPr="002C2B8E">
        <w:rPr>
          <w:rFonts w:cs="Arial"/>
          <w:sz w:val="18"/>
          <w:szCs w:val="18"/>
        </w:rPr>
        <w:t>As defined by Policy PMT1 &amp; PMT2 in the South Somerset Local Plan (2006 – 2028).</w:t>
      </w:r>
    </w:p>
  </w:footnote>
  <w:footnote w:id="7">
    <w:p w:rsidR="00DC7A84" w:rsidRPr="002C2B8E" w:rsidRDefault="00DC7A84">
      <w:pPr>
        <w:pStyle w:val="FootnoteText"/>
        <w:rPr>
          <w:sz w:val="18"/>
          <w:szCs w:val="18"/>
        </w:rPr>
      </w:pPr>
      <w:r w:rsidRPr="002C2B8E">
        <w:rPr>
          <w:rStyle w:val="FootnoteReference"/>
          <w:sz w:val="18"/>
          <w:szCs w:val="18"/>
        </w:rPr>
        <w:footnoteRef/>
      </w:r>
      <w:r w:rsidRPr="002C2B8E">
        <w:rPr>
          <w:sz w:val="18"/>
          <w:szCs w:val="18"/>
        </w:rPr>
        <w:t xml:space="preserve"> Supermarkets are shopping destinations in their own right where weekly food shopping needs are met and which can also include non-food </w:t>
      </w:r>
      <w:proofErr w:type="spellStart"/>
      <w:r w:rsidRPr="002C2B8E">
        <w:rPr>
          <w:sz w:val="18"/>
          <w:szCs w:val="18"/>
        </w:rPr>
        <w:t>floorspace</w:t>
      </w:r>
      <w:proofErr w:type="spellEnd"/>
      <w:r w:rsidRPr="002C2B8E">
        <w:rPr>
          <w:sz w:val="18"/>
          <w:szCs w:val="18"/>
        </w:rPr>
        <w:t xml:space="preserve"> as part of the overall mix. The majority of custom at supermarkets arrives by car, using the large adjacent car parks provided. </w:t>
      </w:r>
    </w:p>
    <w:p w:rsidR="00DC7A84" w:rsidRPr="002C2B8E" w:rsidRDefault="00DC7A84">
      <w:pPr>
        <w:pStyle w:val="FootnoteText"/>
        <w:rPr>
          <w:sz w:val="18"/>
          <w:szCs w:val="18"/>
        </w:rPr>
      </w:pPr>
      <w:r w:rsidRPr="002C2B8E">
        <w:rPr>
          <w:sz w:val="18"/>
          <w:szCs w:val="18"/>
        </w:rPr>
        <w:t xml:space="preserve">Superstores are self-service stores selling mainly food, or food and non-food goods, with supporting car parking. </w:t>
      </w:r>
    </w:p>
    <w:p w:rsidR="00DC7A84" w:rsidRPr="002C2B8E" w:rsidRDefault="00DC7A84">
      <w:pPr>
        <w:pStyle w:val="FootnoteText"/>
        <w:rPr>
          <w:sz w:val="18"/>
          <w:szCs w:val="18"/>
        </w:rPr>
      </w:pPr>
      <w:r w:rsidRPr="002C2B8E">
        <w:rPr>
          <w:sz w:val="18"/>
          <w:szCs w:val="18"/>
        </w:rPr>
        <w:t>Retail warehouses are large stores specialising in the sale of comparison and household goods (such as carpets, furniture and electrical goods), DIY items and other ranges of goods, catering mainly for car-borne customers.</w:t>
      </w:r>
    </w:p>
  </w:footnote>
  <w:footnote w:id="8">
    <w:p w:rsidR="00DC7A84" w:rsidRPr="00906C26" w:rsidRDefault="00DC7A84" w:rsidP="00760064">
      <w:pPr>
        <w:pStyle w:val="FootnoteText"/>
        <w:rPr>
          <w:sz w:val="18"/>
          <w:szCs w:val="18"/>
        </w:rPr>
      </w:pPr>
      <w:r w:rsidRPr="002C2B8E">
        <w:rPr>
          <w:rStyle w:val="FootnoteReference"/>
          <w:sz w:val="18"/>
          <w:szCs w:val="18"/>
        </w:rPr>
        <w:footnoteRef/>
      </w:r>
      <w:r w:rsidRPr="002C2B8E">
        <w:rPr>
          <w:sz w:val="18"/>
          <w:szCs w:val="18"/>
        </w:rPr>
        <w:t xml:space="preserve"> Town Centres as defined through Policy EP11 of the South Somerset Local Plan (2006 – 2028). Primary Shopping Areas in Yeovil and Chard as defined through Policy EP11 in the South Somerset Local Plan (2006 – 2028).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B5"/>
    <w:multiLevelType w:val="hybridMultilevel"/>
    <w:tmpl w:val="620A85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340639F"/>
    <w:multiLevelType w:val="hybridMultilevel"/>
    <w:tmpl w:val="3DE4CF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060D5AC0"/>
    <w:multiLevelType w:val="hybridMultilevel"/>
    <w:tmpl w:val="9D16D0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96633BD"/>
    <w:multiLevelType w:val="hybridMultilevel"/>
    <w:tmpl w:val="412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53A4"/>
    <w:multiLevelType w:val="hybridMultilevel"/>
    <w:tmpl w:val="E7FAE2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7275B25"/>
    <w:multiLevelType w:val="hybridMultilevel"/>
    <w:tmpl w:val="E272E0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8342600"/>
    <w:multiLevelType w:val="hybridMultilevel"/>
    <w:tmpl w:val="0890B5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D7434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DB7824"/>
    <w:multiLevelType w:val="hybridMultilevel"/>
    <w:tmpl w:val="8B0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00475"/>
    <w:multiLevelType w:val="multilevel"/>
    <w:tmpl w:val="EA848F42"/>
    <w:lvl w:ilvl="0">
      <w:start w:val="1"/>
      <w:numFmt w:val="decimal"/>
      <w:lvlText w:val="%1."/>
      <w:lvlJc w:val="left"/>
      <w:pPr>
        <w:ind w:left="360" w:hanging="360"/>
      </w:pPr>
      <w:rPr>
        <w:rFonts w:hint="default"/>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CD42DA"/>
    <w:multiLevelType w:val="hybridMultilevel"/>
    <w:tmpl w:val="693C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B566F7"/>
    <w:multiLevelType w:val="hybridMultilevel"/>
    <w:tmpl w:val="B22E2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4166B0"/>
    <w:multiLevelType w:val="hybridMultilevel"/>
    <w:tmpl w:val="7828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F960F1"/>
    <w:multiLevelType w:val="hybridMultilevel"/>
    <w:tmpl w:val="AF2835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57E40495"/>
    <w:multiLevelType w:val="hybridMultilevel"/>
    <w:tmpl w:val="DD9A05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62661C56"/>
    <w:multiLevelType w:val="hybridMultilevel"/>
    <w:tmpl w:val="16E81B1A"/>
    <w:lvl w:ilvl="0" w:tplc="13E21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367CC0"/>
    <w:multiLevelType w:val="hybridMultilevel"/>
    <w:tmpl w:val="ACC204B6"/>
    <w:lvl w:ilvl="0" w:tplc="7DAA7A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9076E16"/>
    <w:multiLevelType w:val="hybridMultilevel"/>
    <w:tmpl w:val="30C0820A"/>
    <w:lvl w:ilvl="0" w:tplc="BB320354">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6CEE2DB5"/>
    <w:multiLevelType w:val="hybridMultilevel"/>
    <w:tmpl w:val="C5EA3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F970782"/>
    <w:multiLevelType w:val="hybridMultilevel"/>
    <w:tmpl w:val="56487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9"/>
  </w:num>
  <w:num w:numId="4">
    <w:abstractNumId w:val="1"/>
  </w:num>
  <w:num w:numId="5">
    <w:abstractNumId w:val="7"/>
  </w:num>
  <w:num w:numId="6">
    <w:abstractNumId w:val="2"/>
  </w:num>
  <w:num w:numId="7">
    <w:abstractNumId w:val="0"/>
  </w:num>
  <w:num w:numId="8">
    <w:abstractNumId w:val="13"/>
  </w:num>
  <w:num w:numId="9">
    <w:abstractNumId w:val="10"/>
  </w:num>
  <w:num w:numId="10">
    <w:abstractNumId w:val="4"/>
  </w:num>
  <w:num w:numId="11">
    <w:abstractNumId w:val="14"/>
  </w:num>
  <w:num w:numId="12">
    <w:abstractNumId w:val="18"/>
  </w:num>
  <w:num w:numId="13">
    <w:abstractNumId w:val="16"/>
  </w:num>
  <w:num w:numId="14">
    <w:abstractNumId w:val="17"/>
  </w:num>
  <w:num w:numId="15">
    <w:abstractNumId w:val="5"/>
  </w:num>
  <w:num w:numId="16">
    <w:abstractNumId w:val="12"/>
  </w:num>
  <w:num w:numId="17">
    <w:abstractNumId w:val="3"/>
  </w:num>
  <w:num w:numId="18">
    <w:abstractNumId w:val="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FA"/>
    <w:rsid w:val="000016DE"/>
    <w:rsid w:val="000030D0"/>
    <w:rsid w:val="00004F96"/>
    <w:rsid w:val="000124AE"/>
    <w:rsid w:val="00013265"/>
    <w:rsid w:val="000142A5"/>
    <w:rsid w:val="00022A35"/>
    <w:rsid w:val="000354B3"/>
    <w:rsid w:val="00035B4E"/>
    <w:rsid w:val="00036ECE"/>
    <w:rsid w:val="000376E4"/>
    <w:rsid w:val="00041195"/>
    <w:rsid w:val="00042171"/>
    <w:rsid w:val="00054D58"/>
    <w:rsid w:val="0005589F"/>
    <w:rsid w:val="00073535"/>
    <w:rsid w:val="000735B2"/>
    <w:rsid w:val="000757FB"/>
    <w:rsid w:val="00077539"/>
    <w:rsid w:val="000847CF"/>
    <w:rsid w:val="000B5820"/>
    <w:rsid w:val="000C1A87"/>
    <w:rsid w:val="000C2ED0"/>
    <w:rsid w:val="000D1CC7"/>
    <w:rsid w:val="000E3FAD"/>
    <w:rsid w:val="000F5C41"/>
    <w:rsid w:val="001016E6"/>
    <w:rsid w:val="0010334C"/>
    <w:rsid w:val="001039D0"/>
    <w:rsid w:val="001052A2"/>
    <w:rsid w:val="00105604"/>
    <w:rsid w:val="00110BD3"/>
    <w:rsid w:val="00112C37"/>
    <w:rsid w:val="00120983"/>
    <w:rsid w:val="00121605"/>
    <w:rsid w:val="00123EEF"/>
    <w:rsid w:val="001416E7"/>
    <w:rsid w:val="0014337D"/>
    <w:rsid w:val="0014390E"/>
    <w:rsid w:val="001478A6"/>
    <w:rsid w:val="00147BC3"/>
    <w:rsid w:val="00147D29"/>
    <w:rsid w:val="00156AF4"/>
    <w:rsid w:val="001578D7"/>
    <w:rsid w:val="0016109C"/>
    <w:rsid w:val="001619F3"/>
    <w:rsid w:val="00162BD4"/>
    <w:rsid w:val="00191791"/>
    <w:rsid w:val="00192568"/>
    <w:rsid w:val="001A0E31"/>
    <w:rsid w:val="001A5E17"/>
    <w:rsid w:val="001B29F9"/>
    <w:rsid w:val="001B4752"/>
    <w:rsid w:val="001D1E97"/>
    <w:rsid w:val="001E1605"/>
    <w:rsid w:val="001F15DD"/>
    <w:rsid w:val="00200728"/>
    <w:rsid w:val="002033CB"/>
    <w:rsid w:val="002040A9"/>
    <w:rsid w:val="002102EA"/>
    <w:rsid w:val="00242364"/>
    <w:rsid w:val="00247EFE"/>
    <w:rsid w:val="0025242B"/>
    <w:rsid w:val="00252E5E"/>
    <w:rsid w:val="00254E02"/>
    <w:rsid w:val="0025631D"/>
    <w:rsid w:val="00263CEA"/>
    <w:rsid w:val="00271547"/>
    <w:rsid w:val="002734CC"/>
    <w:rsid w:val="002765F4"/>
    <w:rsid w:val="00277058"/>
    <w:rsid w:val="00280F20"/>
    <w:rsid w:val="00286E1F"/>
    <w:rsid w:val="00292A25"/>
    <w:rsid w:val="00292DC9"/>
    <w:rsid w:val="002A12AE"/>
    <w:rsid w:val="002C2B8E"/>
    <w:rsid w:val="002C5B54"/>
    <w:rsid w:val="002C621D"/>
    <w:rsid w:val="002D64F9"/>
    <w:rsid w:val="002F2125"/>
    <w:rsid w:val="002F37CE"/>
    <w:rsid w:val="002F6285"/>
    <w:rsid w:val="003040B1"/>
    <w:rsid w:val="003169D8"/>
    <w:rsid w:val="00316E2F"/>
    <w:rsid w:val="00323CD6"/>
    <w:rsid w:val="00335BEB"/>
    <w:rsid w:val="00335F79"/>
    <w:rsid w:val="00336DB0"/>
    <w:rsid w:val="00343524"/>
    <w:rsid w:val="003478D5"/>
    <w:rsid w:val="00353B4C"/>
    <w:rsid w:val="003541EE"/>
    <w:rsid w:val="00354B18"/>
    <w:rsid w:val="00360F64"/>
    <w:rsid w:val="003648C0"/>
    <w:rsid w:val="003814C1"/>
    <w:rsid w:val="00381FF4"/>
    <w:rsid w:val="00385F1D"/>
    <w:rsid w:val="00390037"/>
    <w:rsid w:val="0039156F"/>
    <w:rsid w:val="003A3EA8"/>
    <w:rsid w:val="003A5C84"/>
    <w:rsid w:val="003B2CF3"/>
    <w:rsid w:val="003B43D5"/>
    <w:rsid w:val="003B4E5D"/>
    <w:rsid w:val="003C110B"/>
    <w:rsid w:val="003C79C9"/>
    <w:rsid w:val="003D33C3"/>
    <w:rsid w:val="003D5D8B"/>
    <w:rsid w:val="003D75F8"/>
    <w:rsid w:val="003E72F3"/>
    <w:rsid w:val="003F0B8C"/>
    <w:rsid w:val="003F41A6"/>
    <w:rsid w:val="0040029E"/>
    <w:rsid w:val="00400B92"/>
    <w:rsid w:val="00411B3A"/>
    <w:rsid w:val="00431449"/>
    <w:rsid w:val="00431616"/>
    <w:rsid w:val="00431E1E"/>
    <w:rsid w:val="00433FD3"/>
    <w:rsid w:val="00434BB8"/>
    <w:rsid w:val="0044185D"/>
    <w:rsid w:val="00446DDF"/>
    <w:rsid w:val="00447004"/>
    <w:rsid w:val="0045351E"/>
    <w:rsid w:val="00461675"/>
    <w:rsid w:val="0046348F"/>
    <w:rsid w:val="00466F48"/>
    <w:rsid w:val="00466F55"/>
    <w:rsid w:val="00474336"/>
    <w:rsid w:val="00482AD4"/>
    <w:rsid w:val="00483048"/>
    <w:rsid w:val="00483B9B"/>
    <w:rsid w:val="0049018B"/>
    <w:rsid w:val="00497657"/>
    <w:rsid w:val="004A0E4F"/>
    <w:rsid w:val="004A0FCB"/>
    <w:rsid w:val="004B0FFF"/>
    <w:rsid w:val="004B7730"/>
    <w:rsid w:val="004C72D4"/>
    <w:rsid w:val="004D3F57"/>
    <w:rsid w:val="004D519C"/>
    <w:rsid w:val="004D5CFD"/>
    <w:rsid w:val="004E0EDB"/>
    <w:rsid w:val="004E2CAB"/>
    <w:rsid w:val="004E4903"/>
    <w:rsid w:val="004F0BF6"/>
    <w:rsid w:val="004F7309"/>
    <w:rsid w:val="005117E7"/>
    <w:rsid w:val="005351B4"/>
    <w:rsid w:val="005460B4"/>
    <w:rsid w:val="00550506"/>
    <w:rsid w:val="00556121"/>
    <w:rsid w:val="00572D52"/>
    <w:rsid w:val="00577649"/>
    <w:rsid w:val="0058085D"/>
    <w:rsid w:val="00580A6B"/>
    <w:rsid w:val="00583A77"/>
    <w:rsid w:val="00583EFA"/>
    <w:rsid w:val="0058661A"/>
    <w:rsid w:val="00596683"/>
    <w:rsid w:val="005A3EE5"/>
    <w:rsid w:val="005A6E1B"/>
    <w:rsid w:val="005B0EB0"/>
    <w:rsid w:val="005B2315"/>
    <w:rsid w:val="005D6EC6"/>
    <w:rsid w:val="006019D9"/>
    <w:rsid w:val="00610789"/>
    <w:rsid w:val="0061116D"/>
    <w:rsid w:val="00636D4A"/>
    <w:rsid w:val="006370FD"/>
    <w:rsid w:val="00637F8C"/>
    <w:rsid w:val="00641643"/>
    <w:rsid w:val="006435B8"/>
    <w:rsid w:val="006479B3"/>
    <w:rsid w:val="00671CAF"/>
    <w:rsid w:val="0067212F"/>
    <w:rsid w:val="006815DC"/>
    <w:rsid w:val="006857DA"/>
    <w:rsid w:val="006A0112"/>
    <w:rsid w:val="006A73B5"/>
    <w:rsid w:val="006B0798"/>
    <w:rsid w:val="006B0A71"/>
    <w:rsid w:val="006B0EA5"/>
    <w:rsid w:val="006B2099"/>
    <w:rsid w:val="006B47F4"/>
    <w:rsid w:val="006C11A2"/>
    <w:rsid w:val="006C3767"/>
    <w:rsid w:val="006C3BBC"/>
    <w:rsid w:val="006D0772"/>
    <w:rsid w:val="006D0A73"/>
    <w:rsid w:val="006D4ABE"/>
    <w:rsid w:val="006D679C"/>
    <w:rsid w:val="006E4376"/>
    <w:rsid w:val="00715676"/>
    <w:rsid w:val="00730596"/>
    <w:rsid w:val="00730623"/>
    <w:rsid w:val="007322CF"/>
    <w:rsid w:val="00741A19"/>
    <w:rsid w:val="0074677B"/>
    <w:rsid w:val="00750B3C"/>
    <w:rsid w:val="00760064"/>
    <w:rsid w:val="00760295"/>
    <w:rsid w:val="007626D6"/>
    <w:rsid w:val="00776951"/>
    <w:rsid w:val="00782C19"/>
    <w:rsid w:val="007845F8"/>
    <w:rsid w:val="007917F3"/>
    <w:rsid w:val="007941A8"/>
    <w:rsid w:val="007B1E0A"/>
    <w:rsid w:val="007B20E0"/>
    <w:rsid w:val="007B64DC"/>
    <w:rsid w:val="007C0461"/>
    <w:rsid w:val="007C15E5"/>
    <w:rsid w:val="007C4FE6"/>
    <w:rsid w:val="007C65A6"/>
    <w:rsid w:val="007C7514"/>
    <w:rsid w:val="007D731A"/>
    <w:rsid w:val="007E6514"/>
    <w:rsid w:val="007F01C8"/>
    <w:rsid w:val="007F2D4F"/>
    <w:rsid w:val="007F30C6"/>
    <w:rsid w:val="007F316A"/>
    <w:rsid w:val="007F54A5"/>
    <w:rsid w:val="007F74F3"/>
    <w:rsid w:val="00801CC8"/>
    <w:rsid w:val="00802F63"/>
    <w:rsid w:val="00804A32"/>
    <w:rsid w:val="00811E66"/>
    <w:rsid w:val="0082557F"/>
    <w:rsid w:val="00831F1C"/>
    <w:rsid w:val="00844523"/>
    <w:rsid w:val="008537ED"/>
    <w:rsid w:val="0086192A"/>
    <w:rsid w:val="00863EBD"/>
    <w:rsid w:val="00864CDA"/>
    <w:rsid w:val="008674B4"/>
    <w:rsid w:val="0087309F"/>
    <w:rsid w:val="00874319"/>
    <w:rsid w:val="00874C78"/>
    <w:rsid w:val="008756F2"/>
    <w:rsid w:val="008A2BD2"/>
    <w:rsid w:val="008A5AAB"/>
    <w:rsid w:val="008D4BBE"/>
    <w:rsid w:val="008D57C6"/>
    <w:rsid w:val="008E746E"/>
    <w:rsid w:val="008F503A"/>
    <w:rsid w:val="0090144A"/>
    <w:rsid w:val="00904FCD"/>
    <w:rsid w:val="00905FE7"/>
    <w:rsid w:val="00906C26"/>
    <w:rsid w:val="009109E4"/>
    <w:rsid w:val="00910EA8"/>
    <w:rsid w:val="00911F34"/>
    <w:rsid w:val="009146E5"/>
    <w:rsid w:val="0091544A"/>
    <w:rsid w:val="009257EC"/>
    <w:rsid w:val="00932590"/>
    <w:rsid w:val="0093286B"/>
    <w:rsid w:val="00932E5E"/>
    <w:rsid w:val="00937305"/>
    <w:rsid w:val="009411A6"/>
    <w:rsid w:val="0095147B"/>
    <w:rsid w:val="0096001D"/>
    <w:rsid w:val="009611F7"/>
    <w:rsid w:val="009656C0"/>
    <w:rsid w:val="0098638A"/>
    <w:rsid w:val="009A711A"/>
    <w:rsid w:val="009B2F4F"/>
    <w:rsid w:val="009B5B20"/>
    <w:rsid w:val="009C17AD"/>
    <w:rsid w:val="009C7540"/>
    <w:rsid w:val="009D6EC4"/>
    <w:rsid w:val="009E2686"/>
    <w:rsid w:val="009F080B"/>
    <w:rsid w:val="009F1584"/>
    <w:rsid w:val="009F2720"/>
    <w:rsid w:val="009F2C0A"/>
    <w:rsid w:val="009F5766"/>
    <w:rsid w:val="009F644C"/>
    <w:rsid w:val="00A0419E"/>
    <w:rsid w:val="00A04E6B"/>
    <w:rsid w:val="00A12896"/>
    <w:rsid w:val="00A12DBE"/>
    <w:rsid w:val="00A26B12"/>
    <w:rsid w:val="00A27151"/>
    <w:rsid w:val="00A32AA3"/>
    <w:rsid w:val="00A36617"/>
    <w:rsid w:val="00A478F6"/>
    <w:rsid w:val="00A56A49"/>
    <w:rsid w:val="00A62D44"/>
    <w:rsid w:val="00A64DAF"/>
    <w:rsid w:val="00A652FD"/>
    <w:rsid w:val="00A710BD"/>
    <w:rsid w:val="00A8086B"/>
    <w:rsid w:val="00A812C7"/>
    <w:rsid w:val="00A81E7A"/>
    <w:rsid w:val="00A869AA"/>
    <w:rsid w:val="00A90DAA"/>
    <w:rsid w:val="00A962E4"/>
    <w:rsid w:val="00AA1902"/>
    <w:rsid w:val="00AA6CB5"/>
    <w:rsid w:val="00AB1AD7"/>
    <w:rsid w:val="00AB28FC"/>
    <w:rsid w:val="00AB3471"/>
    <w:rsid w:val="00AB37E5"/>
    <w:rsid w:val="00AB38BE"/>
    <w:rsid w:val="00AB7E97"/>
    <w:rsid w:val="00AC1ECE"/>
    <w:rsid w:val="00AC71E1"/>
    <w:rsid w:val="00AD6F13"/>
    <w:rsid w:val="00AE0D69"/>
    <w:rsid w:val="00AE130F"/>
    <w:rsid w:val="00AE7B1A"/>
    <w:rsid w:val="00AF3FCF"/>
    <w:rsid w:val="00B01BD6"/>
    <w:rsid w:val="00B0221F"/>
    <w:rsid w:val="00B07327"/>
    <w:rsid w:val="00B13672"/>
    <w:rsid w:val="00B26AC6"/>
    <w:rsid w:val="00B40747"/>
    <w:rsid w:val="00B73713"/>
    <w:rsid w:val="00B73D49"/>
    <w:rsid w:val="00B84DF9"/>
    <w:rsid w:val="00B95076"/>
    <w:rsid w:val="00B96322"/>
    <w:rsid w:val="00B9769B"/>
    <w:rsid w:val="00BA102D"/>
    <w:rsid w:val="00BA7D78"/>
    <w:rsid w:val="00BB26E2"/>
    <w:rsid w:val="00BC1400"/>
    <w:rsid w:val="00BC2DC2"/>
    <w:rsid w:val="00BD0526"/>
    <w:rsid w:val="00BD5554"/>
    <w:rsid w:val="00BD575E"/>
    <w:rsid w:val="00BE0145"/>
    <w:rsid w:val="00BE2FC0"/>
    <w:rsid w:val="00BE4709"/>
    <w:rsid w:val="00BE6399"/>
    <w:rsid w:val="00BF19DE"/>
    <w:rsid w:val="00BF5E01"/>
    <w:rsid w:val="00BF6857"/>
    <w:rsid w:val="00C037FC"/>
    <w:rsid w:val="00C07A53"/>
    <w:rsid w:val="00C15E71"/>
    <w:rsid w:val="00C251C2"/>
    <w:rsid w:val="00C355D1"/>
    <w:rsid w:val="00C45BF4"/>
    <w:rsid w:val="00C54AE3"/>
    <w:rsid w:val="00C55325"/>
    <w:rsid w:val="00C555DF"/>
    <w:rsid w:val="00C67331"/>
    <w:rsid w:val="00C7240F"/>
    <w:rsid w:val="00C72BB4"/>
    <w:rsid w:val="00C82248"/>
    <w:rsid w:val="00C82724"/>
    <w:rsid w:val="00C837CB"/>
    <w:rsid w:val="00C95F39"/>
    <w:rsid w:val="00CA1B37"/>
    <w:rsid w:val="00CA66C0"/>
    <w:rsid w:val="00CB3A54"/>
    <w:rsid w:val="00CC59AC"/>
    <w:rsid w:val="00CD0237"/>
    <w:rsid w:val="00CE745B"/>
    <w:rsid w:val="00D05DB8"/>
    <w:rsid w:val="00D10A2D"/>
    <w:rsid w:val="00D17935"/>
    <w:rsid w:val="00D20BA9"/>
    <w:rsid w:val="00D314ED"/>
    <w:rsid w:val="00D3240B"/>
    <w:rsid w:val="00D3247C"/>
    <w:rsid w:val="00D33673"/>
    <w:rsid w:val="00D3472A"/>
    <w:rsid w:val="00D4504F"/>
    <w:rsid w:val="00D62376"/>
    <w:rsid w:val="00D71F6C"/>
    <w:rsid w:val="00D7364D"/>
    <w:rsid w:val="00D73F55"/>
    <w:rsid w:val="00D746A7"/>
    <w:rsid w:val="00D74B32"/>
    <w:rsid w:val="00D81353"/>
    <w:rsid w:val="00D86C37"/>
    <w:rsid w:val="00D907FA"/>
    <w:rsid w:val="00D9310C"/>
    <w:rsid w:val="00D968F3"/>
    <w:rsid w:val="00DB5503"/>
    <w:rsid w:val="00DB620E"/>
    <w:rsid w:val="00DC1ED4"/>
    <w:rsid w:val="00DC4A1F"/>
    <w:rsid w:val="00DC5549"/>
    <w:rsid w:val="00DC7A84"/>
    <w:rsid w:val="00DD77FC"/>
    <w:rsid w:val="00DE2BEE"/>
    <w:rsid w:val="00DE5E71"/>
    <w:rsid w:val="00DF0579"/>
    <w:rsid w:val="00DF1832"/>
    <w:rsid w:val="00E0144F"/>
    <w:rsid w:val="00E12746"/>
    <w:rsid w:val="00E23075"/>
    <w:rsid w:val="00E25816"/>
    <w:rsid w:val="00E31D84"/>
    <w:rsid w:val="00E32F85"/>
    <w:rsid w:val="00E35613"/>
    <w:rsid w:val="00E37018"/>
    <w:rsid w:val="00E63CDF"/>
    <w:rsid w:val="00E67358"/>
    <w:rsid w:val="00E72AC0"/>
    <w:rsid w:val="00E81888"/>
    <w:rsid w:val="00E83609"/>
    <w:rsid w:val="00E878AC"/>
    <w:rsid w:val="00E91F8B"/>
    <w:rsid w:val="00E941C9"/>
    <w:rsid w:val="00EB0111"/>
    <w:rsid w:val="00EB0A51"/>
    <w:rsid w:val="00EB1FAD"/>
    <w:rsid w:val="00EB2220"/>
    <w:rsid w:val="00EE7699"/>
    <w:rsid w:val="00EF0C4C"/>
    <w:rsid w:val="00EF73A6"/>
    <w:rsid w:val="00F05BA8"/>
    <w:rsid w:val="00F0601D"/>
    <w:rsid w:val="00F100D7"/>
    <w:rsid w:val="00F1051D"/>
    <w:rsid w:val="00F16BEC"/>
    <w:rsid w:val="00F2001D"/>
    <w:rsid w:val="00F21E89"/>
    <w:rsid w:val="00F4043D"/>
    <w:rsid w:val="00F52764"/>
    <w:rsid w:val="00F61C69"/>
    <w:rsid w:val="00F7567F"/>
    <w:rsid w:val="00F8290B"/>
    <w:rsid w:val="00FB59F0"/>
    <w:rsid w:val="00FC6E9B"/>
    <w:rsid w:val="00FC7E0F"/>
    <w:rsid w:val="00FD07CC"/>
    <w:rsid w:val="00FD552D"/>
    <w:rsid w:val="00FD5AE0"/>
    <w:rsid w:val="00FD6BDE"/>
    <w:rsid w:val="00FE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Arial" w:hAnsi="Arial"/>
    </w:rPr>
  </w:style>
  <w:style w:type="paragraph" w:styleId="Heading1">
    <w:name w:val="heading 1"/>
    <w:basedOn w:val="Normal"/>
    <w:next w:val="Normal"/>
    <w:link w:val="Heading1Char"/>
    <w:uiPriority w:val="9"/>
    <w:qFormat/>
    <w:rsid w:val="00583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AA3"/>
    <w:pPr>
      <w:keepNext/>
      <w:keepLines/>
      <w:spacing w:before="200" w:after="0"/>
      <w:outlineLvl w:val="1"/>
    </w:pPr>
    <w:rPr>
      <w:rFonts w:eastAsiaTheme="majorEastAs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BD4"/>
    <w:pPr>
      <w:spacing w:before="240" w:after="240" w:line="240" w:lineRule="auto"/>
      <w:ind w:left="720"/>
    </w:pPr>
  </w:style>
  <w:style w:type="table" w:styleId="TableGrid">
    <w:name w:val="Table Grid"/>
    <w:basedOn w:val="TableNormal"/>
    <w:uiPriority w:val="59"/>
    <w:rsid w:val="00BF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F68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BF68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68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68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32AA3"/>
    <w:rPr>
      <w:rFonts w:ascii="Arial" w:eastAsiaTheme="majorEastAsia" w:hAnsi="Arial" w:cstheme="majorBidi"/>
      <w:b/>
      <w:bCs/>
      <w:color w:val="9BBB59" w:themeColor="accent3"/>
      <w:sz w:val="26"/>
      <w:szCs w:val="26"/>
    </w:rPr>
  </w:style>
  <w:style w:type="character" w:styleId="Hyperlink">
    <w:name w:val="Hyperlink"/>
    <w:basedOn w:val="DefaultParagraphFont"/>
    <w:uiPriority w:val="99"/>
    <w:unhideWhenUsed/>
    <w:rsid w:val="007F316A"/>
    <w:rPr>
      <w:color w:val="0000FF" w:themeColor="hyperlink"/>
      <w:u w:val="single"/>
    </w:rPr>
  </w:style>
  <w:style w:type="paragraph" w:styleId="BalloonText">
    <w:name w:val="Balloon Text"/>
    <w:basedOn w:val="Normal"/>
    <w:link w:val="BalloonTextChar"/>
    <w:uiPriority w:val="99"/>
    <w:semiHidden/>
    <w:unhideWhenUsed/>
    <w:rsid w:val="0004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95"/>
    <w:rPr>
      <w:rFonts w:ascii="Tahoma" w:hAnsi="Tahoma" w:cs="Tahoma"/>
      <w:sz w:val="16"/>
      <w:szCs w:val="16"/>
    </w:rPr>
  </w:style>
  <w:style w:type="paragraph" w:styleId="Header">
    <w:name w:val="header"/>
    <w:basedOn w:val="Normal"/>
    <w:link w:val="HeaderChar"/>
    <w:uiPriority w:val="99"/>
    <w:unhideWhenUsed/>
    <w:rsid w:val="007C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E5"/>
  </w:style>
  <w:style w:type="paragraph" w:styleId="Footer">
    <w:name w:val="footer"/>
    <w:basedOn w:val="Normal"/>
    <w:link w:val="FooterChar"/>
    <w:uiPriority w:val="99"/>
    <w:unhideWhenUsed/>
    <w:rsid w:val="007C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E5"/>
  </w:style>
  <w:style w:type="paragraph" w:styleId="FootnoteText">
    <w:name w:val="footnote text"/>
    <w:basedOn w:val="Normal"/>
    <w:link w:val="FootnoteTextChar"/>
    <w:uiPriority w:val="99"/>
    <w:semiHidden/>
    <w:unhideWhenUsed/>
    <w:rsid w:val="00F75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67F"/>
    <w:rPr>
      <w:sz w:val="20"/>
      <w:szCs w:val="20"/>
    </w:rPr>
  </w:style>
  <w:style w:type="character" w:styleId="FootnoteReference">
    <w:name w:val="footnote reference"/>
    <w:basedOn w:val="DefaultParagraphFont"/>
    <w:uiPriority w:val="99"/>
    <w:semiHidden/>
    <w:unhideWhenUsed/>
    <w:rsid w:val="00F7567F"/>
    <w:rPr>
      <w:vertAlign w:val="superscript"/>
    </w:r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table" w:styleId="LightList-Accent3">
    <w:name w:val="Light List Accent 3"/>
    <w:basedOn w:val="TableNormal"/>
    <w:uiPriority w:val="61"/>
    <w:rsid w:val="005561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BD052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Arial" w:hAnsi="Arial"/>
    </w:rPr>
  </w:style>
  <w:style w:type="paragraph" w:styleId="Heading1">
    <w:name w:val="heading 1"/>
    <w:basedOn w:val="Normal"/>
    <w:next w:val="Normal"/>
    <w:link w:val="Heading1Char"/>
    <w:uiPriority w:val="9"/>
    <w:qFormat/>
    <w:rsid w:val="00583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AA3"/>
    <w:pPr>
      <w:keepNext/>
      <w:keepLines/>
      <w:spacing w:before="200" w:after="0"/>
      <w:outlineLvl w:val="1"/>
    </w:pPr>
    <w:rPr>
      <w:rFonts w:eastAsiaTheme="majorEastAs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BD4"/>
    <w:pPr>
      <w:spacing w:before="240" w:after="240" w:line="240" w:lineRule="auto"/>
      <w:ind w:left="720"/>
    </w:pPr>
  </w:style>
  <w:style w:type="table" w:styleId="TableGrid">
    <w:name w:val="Table Grid"/>
    <w:basedOn w:val="TableNormal"/>
    <w:uiPriority w:val="59"/>
    <w:rsid w:val="00BF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F68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BF68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68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68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32AA3"/>
    <w:rPr>
      <w:rFonts w:ascii="Arial" w:eastAsiaTheme="majorEastAsia" w:hAnsi="Arial" w:cstheme="majorBidi"/>
      <w:b/>
      <w:bCs/>
      <w:color w:val="9BBB59" w:themeColor="accent3"/>
      <w:sz w:val="26"/>
      <w:szCs w:val="26"/>
    </w:rPr>
  </w:style>
  <w:style w:type="character" w:styleId="Hyperlink">
    <w:name w:val="Hyperlink"/>
    <w:basedOn w:val="DefaultParagraphFont"/>
    <w:uiPriority w:val="99"/>
    <w:unhideWhenUsed/>
    <w:rsid w:val="007F316A"/>
    <w:rPr>
      <w:color w:val="0000FF" w:themeColor="hyperlink"/>
      <w:u w:val="single"/>
    </w:rPr>
  </w:style>
  <w:style w:type="paragraph" w:styleId="BalloonText">
    <w:name w:val="Balloon Text"/>
    <w:basedOn w:val="Normal"/>
    <w:link w:val="BalloonTextChar"/>
    <w:uiPriority w:val="99"/>
    <w:semiHidden/>
    <w:unhideWhenUsed/>
    <w:rsid w:val="0004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95"/>
    <w:rPr>
      <w:rFonts w:ascii="Tahoma" w:hAnsi="Tahoma" w:cs="Tahoma"/>
      <w:sz w:val="16"/>
      <w:szCs w:val="16"/>
    </w:rPr>
  </w:style>
  <w:style w:type="paragraph" w:styleId="Header">
    <w:name w:val="header"/>
    <w:basedOn w:val="Normal"/>
    <w:link w:val="HeaderChar"/>
    <w:uiPriority w:val="99"/>
    <w:unhideWhenUsed/>
    <w:rsid w:val="007C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E5"/>
  </w:style>
  <w:style w:type="paragraph" w:styleId="Footer">
    <w:name w:val="footer"/>
    <w:basedOn w:val="Normal"/>
    <w:link w:val="FooterChar"/>
    <w:uiPriority w:val="99"/>
    <w:unhideWhenUsed/>
    <w:rsid w:val="007C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E5"/>
  </w:style>
  <w:style w:type="paragraph" w:styleId="FootnoteText">
    <w:name w:val="footnote text"/>
    <w:basedOn w:val="Normal"/>
    <w:link w:val="FootnoteTextChar"/>
    <w:uiPriority w:val="99"/>
    <w:semiHidden/>
    <w:unhideWhenUsed/>
    <w:rsid w:val="00F75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67F"/>
    <w:rPr>
      <w:sz w:val="20"/>
      <w:szCs w:val="20"/>
    </w:rPr>
  </w:style>
  <w:style w:type="character" w:styleId="FootnoteReference">
    <w:name w:val="footnote reference"/>
    <w:basedOn w:val="DefaultParagraphFont"/>
    <w:uiPriority w:val="99"/>
    <w:semiHidden/>
    <w:unhideWhenUsed/>
    <w:rsid w:val="00F7567F"/>
    <w:rPr>
      <w:vertAlign w:val="superscript"/>
    </w:r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table" w:styleId="LightList-Accent3">
    <w:name w:val="Light List Accent 3"/>
    <w:basedOn w:val="TableNormal"/>
    <w:uiPriority w:val="61"/>
    <w:rsid w:val="005561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BD052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474">
      <w:bodyDiv w:val="1"/>
      <w:marLeft w:val="0"/>
      <w:marRight w:val="0"/>
      <w:marTop w:val="0"/>
      <w:marBottom w:val="0"/>
      <w:divBdr>
        <w:top w:val="none" w:sz="0" w:space="0" w:color="auto"/>
        <w:left w:val="none" w:sz="0" w:space="0" w:color="auto"/>
        <w:bottom w:val="none" w:sz="0" w:space="0" w:color="auto"/>
        <w:right w:val="none" w:sz="0" w:space="0" w:color="auto"/>
      </w:divBdr>
    </w:div>
    <w:div w:id="10414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uthsomerset.gov.uk/planning-and-building-control/planning-policy/community-infrastructure-lev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outhsomerset.gov.uk/planning-and-building-control/planning-policy/community-infrastructure-levy/"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outhsomerset.gov.uk/media/856838/south_somerset__cil_final_report.pdf" TargetMode="External"/><Relationship Id="rId2" Type="http://schemas.openxmlformats.org/officeDocument/2006/relationships/hyperlink" Target="http://planningguidance.communities.gov.uk/blog/guidance/community-infrastructure-levy/" TargetMode="External"/><Relationship Id="rId1" Type="http://schemas.openxmlformats.org/officeDocument/2006/relationships/hyperlink" Target="http://www.legislation.gov.uk/uksi/2010/948/contents/made" TargetMode="External"/><Relationship Id="rId4" Type="http://schemas.openxmlformats.org/officeDocument/2006/relationships/hyperlink" Target="http://www.southsomerset.gov.uk/planning-and-building-control/planning-policy/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BB59-8C24-46D3-9440-17639156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Wheatley</dc:creator>
  <cp:lastModifiedBy>Charlotte Fry</cp:lastModifiedBy>
  <cp:revision>3</cp:revision>
  <cp:lastPrinted>2016-05-25T10:51:00Z</cp:lastPrinted>
  <dcterms:created xsi:type="dcterms:W3CDTF">2017-01-27T15:41:00Z</dcterms:created>
  <dcterms:modified xsi:type="dcterms:W3CDTF">2017-01-27T15:42:00Z</dcterms:modified>
</cp:coreProperties>
</file>